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«Подвижные игры»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физкультурно-спортивная.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7-10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Игры с бегом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Игры с мячом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Игры с прыжками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Игры с малой подвижностью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Народные игры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Эстафеты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активизировать двигательную активность средних школьников во внеурочное время;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познакомить детей с разнообразием народных подвижных игр и возможностью использовать их при организации досуга;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создавать условия для проявления чувства коллективизма;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numPr>
          <w:ilvl w:val="0"/>
          <w:numId w:val="5"/>
        </w:numPr>
        <w:ind w:left="0" w:firstLine="709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воспитывать культуру игрового общения, ценностного отношения к подвижным играм как наследию и к проявлению здорового образа жизни.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2023-11-13T06:03:20Z</dcterms:modified>
</cp:coreProperties>
</file>