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«Подготовка учащихся к сдаче норм комплекса ГТО»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физкультурно-спортивная.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7-17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Основные занятия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Двигательные умения и навыки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Спортивные мероприятия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внедре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ние комплекса ГТО в систему физического воспитания школьников и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Воспитательные: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способствовать созданию положительного отношения школьников к комплексу ГТО;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мотивирование к участию в спортивно-оздоровительной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Образовательные: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углубление знаний, расширение и закрепление арсенала двигательных умений и навыков, приобретенных на уроках физической культуры;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Развивающие: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развитие основных физических способностей (качеств) и повышение функциональных возможностей организма;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обогащение двигательного опыта учащихся физическими упражнениями с общеразвивающей и прикладной направленностью, техническими действиями видов испытаний (тестов) комплекса ГТО;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right="0" w:firstLine="709"/>
        <w:jc w:val="both"/>
        <w:spacing w:after="0" w:afterAutospacing="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формирование умений максимально проявлять физические способности при выполнении видов испытаний (тестов) комплекса ГТО.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firstLine="0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  <w:style w:type="paragraph" w:styleId="848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2023-11-13T06:01:23Z</dcterms:modified>
</cp:coreProperties>
</file>