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left="-1419" w:right="11062" w:firstLine="0"/>
        <w:jc w:val="left"/>
        <w:spacing w:after="0" w:line="259" w:lineRule="auto"/>
      </w:pPr>
      <w:r/>
      <w:r/>
    </w:p>
    <w:p>
      <w:pPr>
        <w:pStyle w:val="878"/>
        <w:ind w:left="72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tbl>
      <w:tblPr>
        <w:tblStyle w:val="734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9" w:type="dxa"/>
            <w:textDirection w:val="lrTb"/>
            <w:noWrap w:val="false"/>
          </w:tcPr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Рассмотрен на заседании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педагогического совета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МКОУ «Таборинская СОШ»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протокол от «29» августа 2023г. №1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9" w:type="dxa"/>
            <w:textDirection w:val="lrTb"/>
            <w:noWrap w:val="false"/>
          </w:tcPr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УТВЕРЖДЕН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Приказом директора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МКОУ «Таборинская СОШ»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№119о/д от «31» августа 2023г.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</w:tbl>
    <w:p>
      <w:pPr>
        <w:ind w:left="0" w:right="0" w:hanging="2"/>
        <w:shd w:val="nil" w:color="00000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auto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Учебный план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hanging="2"/>
        <w:jc w:val="center"/>
        <w:shd w:val="nil" w:color="000000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Муниципального казённого общеобразовательного учреждения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hanging="2"/>
        <w:jc w:val="center"/>
        <w:shd w:val="nil" w:color="000000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«Таборинская средняя общеобразовательная школа»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на 2023-2024 учебный год.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hd w:val="nil" w:color="000000"/>
        <w:rPr>
          <w:highlight w:val="none"/>
        </w:rPr>
      </w:pPr>
      <w:r>
        <w:rPr>
          <w:highlight w:val="none"/>
          <w:lang w:val="ru-RU"/>
        </w:rPr>
        <w:t xml:space="preserve">2023г.</w:t>
      </w: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Style w:val="879"/>
        <w:numPr>
          <w:ilvl w:val="0"/>
          <w:numId w:val="0"/>
        </w:numPr>
        <w:ind w:left="2216" w:right="2213"/>
        <w:rPr>
          <w:highlight w:val="none"/>
        </w:rPr>
      </w:pPr>
      <w:r>
        <w:t xml:space="preserve">Пояснительная   записка к учебному плану  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2962" w:right="735" w:hanging="2235"/>
        <w:jc w:val="left"/>
        <w:spacing w:after="17" w:line="267" w:lineRule="auto"/>
      </w:pPr>
      <w:r>
        <w:rPr>
          <w:b/>
        </w:rPr>
        <w:t xml:space="preserve">Муниципального </w:t>
      </w:r>
      <w:r>
        <w:rPr>
          <w:b/>
          <w:lang w:val="ru-RU"/>
        </w:rPr>
        <w:t xml:space="preserve">казенного</w:t>
      </w:r>
      <w:r>
        <w:rPr>
          <w:b/>
        </w:rPr>
        <w:t xml:space="preserve"> общеобразовательного учреждения</w:t>
      </w:r>
      <w:r>
        <w:rPr>
          <w:b/>
        </w:rPr>
        <w:t xml:space="preserve"> </w:t>
      </w:r>
      <w:r>
        <w:rPr>
          <w:b/>
          <w:lang w:val="ru-RU"/>
        </w:rPr>
        <w:t xml:space="preserve">«Таборинской </w:t>
      </w:r>
      <w:r>
        <w:rPr>
          <w:b/>
        </w:rPr>
        <w:t xml:space="preserve">средней общеобразовательной школы</w:t>
      </w:r>
      <w:r>
        <w:rPr>
          <w:b/>
          <w:lang w:val="ru-RU"/>
        </w:rPr>
        <w:t xml:space="preserve">»</w:t>
      </w:r>
      <w:r>
        <w:rPr>
          <w:b/>
        </w:rPr>
        <w:t xml:space="preserve">   на 2023 - 2024 учебный год  </w:t>
      </w:r>
      <w:r/>
    </w:p>
    <w:p>
      <w:pPr>
        <w:pStyle w:val="878"/>
        <w:ind w:left="110" w:hanging="10"/>
        <w:jc w:val="left"/>
        <w:spacing w:after="17" w:line="267" w:lineRule="auto"/>
      </w:pPr>
      <w:r>
        <w:rPr>
          <w:b/>
        </w:rPr>
        <w:t xml:space="preserve"> (в соответствии с ФГОС НОО, утвержденным приказом Министерства Просвещения </w:t>
      </w:r>
      <w:r/>
    </w:p>
    <w:p>
      <w:pPr>
        <w:pStyle w:val="878"/>
        <w:ind w:left="2216" w:right="2212" w:hanging="10"/>
        <w:jc w:val="center"/>
        <w:spacing w:after="0" w:line="259" w:lineRule="auto"/>
      </w:pPr>
      <w:r>
        <w:rPr>
          <w:b/>
        </w:rPr>
        <w:t xml:space="preserve">№ 286 от 31.05.2021г) </w:t>
      </w:r>
      <w:r/>
    </w:p>
    <w:p>
      <w:pPr>
        <w:pStyle w:val="878"/>
        <w:ind w:left="0" w:firstLine="0"/>
        <w:jc w:val="left"/>
        <w:spacing w:after="22" w:line="259" w:lineRule="auto"/>
      </w:pPr>
      <w:r>
        <w:rPr>
          <w:b/>
        </w:rPr>
        <w:t xml:space="preserve"> </w:t>
      </w:r>
      <w:r/>
    </w:p>
    <w:p>
      <w:pPr>
        <w:pStyle w:val="879"/>
        <w:numPr>
          <w:ilvl w:val="0"/>
          <w:numId w:val="0"/>
        </w:numPr>
        <w:ind w:left="2216" w:right="2211"/>
      </w:pPr>
      <w:r>
        <w:t xml:space="preserve">1.Общие положения </w:t>
      </w:r>
      <w:r/>
    </w:p>
    <w:p>
      <w:pPr>
        <w:pStyle w:val="878"/>
        <w:ind w:left="412" w:right="15"/>
      </w:pPr>
      <w:r>
        <w:t xml:space="preserve"> Учебный план -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 </w:t>
      </w:r>
      <w:r/>
    </w:p>
    <w:p>
      <w:pPr>
        <w:pStyle w:val="878"/>
        <w:ind w:left="412" w:right="15"/>
      </w:pPr>
      <w:r>
        <w:t xml:space="preserve">Учебный план начального общего образования является основным  организационным  механизмом реализации основной образовательной программы начального общего образования. Обеспечивает преподавание и изучение государственного языка Российской Федер</w:t>
      </w:r>
      <w:r>
        <w:t xml:space="preserve">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  </w:t>
      </w:r>
      <w:r/>
    </w:p>
    <w:p>
      <w:pPr>
        <w:pStyle w:val="878"/>
        <w:ind w:left="994" w:firstLine="0"/>
        <w:jc w:val="left"/>
        <w:spacing w:after="30" w:line="259" w:lineRule="auto"/>
      </w:pPr>
      <w:r>
        <w:t xml:space="preserve"> </w:t>
      </w:r>
      <w:r/>
    </w:p>
    <w:p>
      <w:pPr>
        <w:pStyle w:val="879"/>
        <w:ind w:left="2446" w:right="2209" w:hanging="240"/>
      </w:pPr>
      <w:r>
        <w:t xml:space="preserve">Цели и задачи учебного плана </w:t>
      </w:r>
      <w:r/>
    </w:p>
    <w:p>
      <w:pPr>
        <w:pStyle w:val="878"/>
        <w:ind w:left="412" w:right="15"/>
      </w:pPr>
      <w:r>
        <w:t xml:space="preserve">При разработке учебного плана учитывались цели и задачи деятельности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СОШ»</w:t>
      </w:r>
      <w:r>
        <w:t xml:space="preserve">, сформулированные в основной образовательной программе.  </w:t>
      </w:r>
      <w:r/>
    </w:p>
    <w:p>
      <w:pPr>
        <w:pStyle w:val="878"/>
        <w:ind w:left="994" w:right="15" w:firstLine="0"/>
      </w:pPr>
      <w:r>
        <w:t xml:space="preserve">Целями реализации программы начального общего образования являются:  </w:t>
      </w:r>
      <w:r/>
    </w:p>
    <w:p>
      <w:pPr>
        <w:pStyle w:val="878"/>
        <w:numPr>
          <w:ilvl w:val="0"/>
          <w:numId w:val="1"/>
        </w:numPr>
        <w:ind w:right="15" w:hanging="360"/>
      </w:pPr>
      <w:r>
        <w:t xml:space="preserve">обеспечение успешной реализации конституционного права каждого гражданина РФ, достигшего возраста 6,5— 7 лет, на получение качественного образования, включающего обучение, развитие и воспитание каждого обучающегося; </w:t>
      </w:r>
      <w:r/>
    </w:p>
    <w:p>
      <w:pPr>
        <w:pStyle w:val="878"/>
        <w:numPr>
          <w:ilvl w:val="0"/>
          <w:numId w:val="1"/>
        </w:numPr>
        <w:ind w:right="15" w:hanging="360"/>
      </w:pPr>
      <w:r>
        <w:t xml:space="preserve">организация учебного процесса с учётом целей, содержания и планируемых результатов начального общего образования, отражённых в обновленном ФГОС НОО; </w:t>
      </w:r>
      <w:r/>
    </w:p>
    <w:p>
      <w:pPr>
        <w:pStyle w:val="878"/>
        <w:numPr>
          <w:ilvl w:val="0"/>
          <w:numId w:val="1"/>
        </w:numPr>
        <w:ind w:right="15" w:hanging="360"/>
      </w:pPr>
      <w: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</w:t>
      </w:r>
      <w:r>
        <w:t xml:space="preserve">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педагогов; </w:t>
      </w:r>
      <w:r/>
    </w:p>
    <w:p>
      <w:pPr>
        <w:pStyle w:val="878"/>
        <w:numPr>
          <w:ilvl w:val="0"/>
          <w:numId w:val="1"/>
        </w:numPr>
        <w:ind w:right="15" w:hanging="360"/>
      </w:pPr>
      <w:r>
        <w:t xml:space="preserve">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  </w:t>
      </w:r>
      <w:r/>
    </w:p>
    <w:p>
      <w:pPr>
        <w:pStyle w:val="878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878"/>
        <w:ind w:left="412" w:right="15" w:firstLine="281"/>
      </w:pPr>
      <w:r>
        <w:t xml:space="preserve">Достижение поставленных целей предусматривает решение следующих основных задач: </w:t>
      </w:r>
      <w:r/>
    </w:p>
    <w:p>
      <w:pPr>
        <w:pStyle w:val="878"/>
        <w:ind w:left="412" w:right="15" w:firstLine="281"/>
      </w:pPr>
      <w:r>
        <w:t xml:space="preserve"> 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 </w:t>
      </w:r>
      <w:r/>
    </w:p>
    <w:p>
      <w:pPr>
        <w:pStyle w:val="878"/>
        <w:ind w:left="412" w:right="15" w:firstLine="281"/>
      </w:pPr>
      <w:r>
        <w:t xml:space="preserve">— обеспечение планируемых результатов по освоению выпускником целевых установок, приобретению знаний,</w:t>
      </w:r>
      <w:r>
        <w:t xml:space="preserve">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 </w:t>
      </w:r>
      <w:r/>
    </w:p>
    <w:p>
      <w:pPr>
        <w:pStyle w:val="878"/>
        <w:ind w:left="412" w:right="15" w:firstLine="281"/>
      </w:pPr>
      <w:r>
        <w:t xml:space="preserve">— становление и развитие личности в ее индивидуальности, самобытности, уникальности и неповторимости;  </w:t>
      </w:r>
      <w:r/>
    </w:p>
    <w:p>
      <w:pPr>
        <w:pStyle w:val="878"/>
        <w:ind w:left="412" w:right="15" w:firstLine="281"/>
      </w:pPr>
      <w:r>
        <w:t xml:space="preserve">— обеспечение преемственности начального общего и основного общего образования;  </w:t>
      </w:r>
      <w:r/>
    </w:p>
    <w:p>
      <w:pPr>
        <w:pStyle w:val="878"/>
        <w:ind w:left="412" w:right="15" w:firstLine="281"/>
      </w:pPr>
      <w:r>
        <w:t xml:space="preserve">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 </w:t>
      </w:r>
      <w:r/>
    </w:p>
    <w:p>
      <w:pPr>
        <w:pStyle w:val="878"/>
        <w:ind w:left="412" w:right="15" w:firstLine="281"/>
      </w:pPr>
      <w:r>
        <w:t xml:space="preserve">— обеспечение доступности получения качественного начального общего образования;  </w:t>
      </w:r>
      <w:r/>
    </w:p>
    <w:p>
      <w:pPr>
        <w:pStyle w:val="878"/>
        <w:ind w:left="412" w:right="15" w:firstLine="281"/>
      </w:pPr>
      <w:r>
        <w:t xml:space="preserve">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 </w:t>
      </w:r>
      <w:r/>
    </w:p>
    <w:p>
      <w:pPr>
        <w:pStyle w:val="878"/>
        <w:ind w:left="412" w:right="15" w:firstLine="281"/>
      </w:pPr>
      <w:r>
        <w:t xml:space="preserve">— организация интеллектуальных и творческих соревнований, научно-технического творчества и проектно-исследовательской деятельности;  </w:t>
      </w:r>
      <w:r/>
    </w:p>
    <w:p>
      <w:pPr>
        <w:pStyle w:val="878"/>
        <w:ind w:left="412" w:right="15" w:firstLine="281"/>
      </w:pPr>
      <w:r>
        <w:t xml:space="preserve"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 ной среды;  </w:t>
      </w:r>
      <w:r/>
    </w:p>
    <w:p>
      <w:pPr>
        <w:pStyle w:val="878"/>
        <w:ind w:left="412" w:right="15" w:firstLine="281"/>
      </w:pPr>
      <w:r>
        <w:t xml:space="preserve">— использование в образовательной деятельности современных образовательных технологий деятельностного  типа; </w:t>
      </w:r>
      <w:r/>
    </w:p>
    <w:p>
      <w:pPr>
        <w:pStyle w:val="878"/>
        <w:ind w:left="412" w:right="15" w:firstLine="281"/>
      </w:pPr>
      <w:r>
        <w:t xml:space="preserve"> — предоставление обучающимся возможности для эффективной самостоятельной работы;  </w:t>
      </w:r>
      <w:r/>
    </w:p>
    <w:p>
      <w:pPr>
        <w:pStyle w:val="878"/>
        <w:ind w:left="412" w:right="15" w:firstLine="281"/>
      </w:pPr>
      <w:r>
        <w:t xml:space="preserve">— включение обучающихся в процессы познания и преобразования внешкольной социальной среды (</w:t>
      </w:r>
      <w:r>
        <w:rPr>
          <w:lang w:val="ru-RU"/>
        </w:rPr>
        <w:t xml:space="preserve">села</w:t>
      </w:r>
      <w:r>
        <w:t xml:space="preserve">). </w:t>
      </w:r>
      <w:r/>
    </w:p>
    <w:p>
      <w:pPr>
        <w:pStyle w:val="878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878"/>
        <w:ind w:left="708" w:firstLine="0"/>
        <w:jc w:val="left"/>
        <w:spacing w:after="31" w:line="259" w:lineRule="auto"/>
      </w:pPr>
      <w:r>
        <w:t xml:space="preserve"> </w:t>
      </w:r>
      <w:r/>
    </w:p>
    <w:p>
      <w:pPr>
        <w:pStyle w:val="879"/>
        <w:ind w:left="2446" w:right="1221" w:hanging="240"/>
      </w:pPr>
      <w:r>
        <w:t xml:space="preserve">Условия реализации учебного плана </w:t>
      </w:r>
      <w:r/>
    </w:p>
    <w:p>
      <w:pPr>
        <w:pStyle w:val="878"/>
        <w:ind w:left="412" w:right="15"/>
      </w:pPr>
      <w:r>
        <w:t xml:space="preserve">Срок освоения основной образовательной программы начального общего образования: 4 года. </w:t>
      </w:r>
      <w:r/>
    </w:p>
    <w:p>
      <w:pPr>
        <w:pStyle w:val="878"/>
        <w:ind w:left="412" w:right="15"/>
      </w:pPr>
      <w:r>
        <w:t xml:space="preserve">Продолжительность   учебного года: I класс- 33 учебные недели; II -IV классы -  34 учебные   недели.  </w:t>
      </w:r>
      <w:r/>
    </w:p>
    <w:p>
      <w:pPr>
        <w:pStyle w:val="878"/>
        <w:ind w:left="412" w:right="15"/>
      </w:pPr>
      <w:r>
        <w:t xml:space="preserve">Режим работы: 5-дневная учебная неделя в соответствии с Санитарноэпидемическими правилами и нормативами на уровне начального общего образования.  </w:t>
      </w:r>
      <w:r/>
    </w:p>
    <w:p>
      <w:pPr>
        <w:pStyle w:val="878"/>
        <w:ind w:left="412" w:right="15"/>
      </w:pPr>
      <w:r>
        <w:t xml:space="preserve">Продолжительность каникул в течение учебного года: 30 календарных дней. Для учеников 1-х классов - дополнительные недельные каникулы в середине третьей четверти. </w:t>
      </w:r>
      <w:r/>
    </w:p>
    <w:p>
      <w:pPr>
        <w:pStyle w:val="878"/>
        <w:ind w:left="994" w:right="15" w:firstLine="0"/>
      </w:pPr>
      <w:r>
        <w:t xml:space="preserve">Начало учебных занятий: с 0</w:t>
      </w:r>
      <w:r>
        <w:rPr>
          <w:lang w:val="ru-RU"/>
        </w:rPr>
        <w:t xml:space="preserve">9</w:t>
      </w:r>
      <w:r>
        <w:t xml:space="preserve">.00 часов. </w:t>
      </w:r>
      <w:r/>
    </w:p>
    <w:p>
      <w:pPr>
        <w:pStyle w:val="878"/>
        <w:ind w:left="412" w:right="15"/>
      </w:pPr>
      <w:r>
        <w:t xml:space="preserve">Обучение осуществляется в </w:t>
      </w:r>
      <w:r>
        <w:rPr>
          <w:lang w:val="ru-RU"/>
        </w:rPr>
        <w:t xml:space="preserve">одну</w:t>
      </w:r>
      <w:r>
        <w:t xml:space="preserve"> смен</w:t>
      </w:r>
      <w:r>
        <w:rPr>
          <w:lang w:val="ru-RU"/>
        </w:rPr>
        <w:t xml:space="preserve">у</w:t>
      </w:r>
      <w:r>
        <w:t xml:space="preserve">. </w:t>
      </w:r>
      <w:r/>
    </w:p>
    <w:p>
      <w:pPr>
        <w:pStyle w:val="878"/>
        <w:ind w:left="994" w:firstLine="0"/>
        <w:jc w:val="left"/>
        <w:spacing w:after="22" w:line="259" w:lineRule="auto"/>
      </w:pPr>
      <w:r>
        <w:t xml:space="preserve"> </w:t>
      </w:r>
      <w:r/>
    </w:p>
    <w:p>
      <w:pPr>
        <w:pStyle w:val="878"/>
        <w:ind w:left="994" w:right="15" w:firstLine="0"/>
      </w:pPr>
      <w:r>
        <w:t xml:space="preserve">Обучение </w:t>
      </w:r>
      <w:r>
        <w:rPr>
          <w:u w:val="single"/>
        </w:rPr>
        <w:t xml:space="preserve">в 1 классе</w:t>
      </w:r>
      <w:r>
        <w:t xml:space="preserve"> осуществляется с соблюдением следующих требований:  </w:t>
      </w:r>
      <w:r/>
    </w:p>
    <w:p>
      <w:pPr>
        <w:pStyle w:val="878"/>
        <w:ind w:left="412" w:right="15"/>
      </w:pPr>
      <w:r>
        <w:t xml:space="preserve">-учебные занятия проводятся по 5-дневной учебной неделе и только в первую смену; </w:t>
      </w:r>
      <w:r/>
    </w:p>
    <w:p>
      <w:pPr>
        <w:pStyle w:val="878"/>
        <w:ind w:left="412" w:right="15"/>
      </w:pPr>
      <w:r>
        <w:t xml:space="preserve">-обучение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каждый; </w:t>
      </w:r>
      <w:r/>
    </w:p>
    <w:p>
      <w:pPr>
        <w:pStyle w:val="878"/>
        <w:numPr>
          <w:ilvl w:val="0"/>
          <w:numId w:val="2"/>
        </w:numPr>
        <w:ind w:right="15"/>
      </w:pPr>
      <w:r>
        <w:t xml:space="preserve">в середине учебного дня организуется динамическая пауза продолжительностью не менее 40 минут; </w:t>
      </w:r>
      <w:r/>
    </w:p>
    <w:p>
      <w:pPr>
        <w:pStyle w:val="878"/>
        <w:numPr>
          <w:ilvl w:val="0"/>
          <w:numId w:val="2"/>
        </w:numPr>
        <w:ind w:right="15"/>
      </w:pPr>
      <w:r>
        <w:t xml:space="preserve">предоставляются дополнительные недельные каникулы в середине третьей четверти. </w:t>
      </w:r>
      <w:r/>
    </w:p>
    <w:p>
      <w:pPr>
        <w:pStyle w:val="878"/>
        <w:ind w:left="412" w:right="15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  </w:t>
      </w:r>
      <w:r/>
    </w:p>
    <w:p>
      <w:pPr>
        <w:pStyle w:val="878"/>
        <w:ind w:left="412" w:right="15"/>
      </w:pPr>
      <w:r>
        <w:t xml:space="preserve">-для обучающихся 1-х классов - не должен превышать 4 уроков и один раз в неделю - 5 уроков, за счет урока физической культуры; </w:t>
      </w:r>
      <w:r/>
    </w:p>
    <w:p>
      <w:pPr>
        <w:pStyle w:val="878"/>
        <w:ind w:left="412" w:right="15"/>
      </w:pPr>
      <w:r>
        <w:t xml:space="preserve">-для обучающихся 2-4 классов - не более 5 уроков и один раз в неделю 6 уроков за счет урока физической культуры. </w:t>
      </w:r>
      <w:r/>
    </w:p>
    <w:p>
      <w:pPr>
        <w:pStyle w:val="878"/>
        <w:ind w:left="412" w:right="15"/>
      </w:pPr>
      <w:r>
        <w:t xml:space="preserve">Максимально допустимая недельная нагрузка в 1 классах - 21 академический час; во 2-4 классах- 23 часа. </w:t>
      </w:r>
      <w:r/>
    </w:p>
    <w:p>
      <w:pPr>
        <w:pStyle w:val="878"/>
        <w:ind w:left="412" w:right="15"/>
      </w:pPr>
      <w: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 I классах- 1 часа; во IIIII классах – 1,5 часа; в IV классе – 2 часа. В 1-х классах – безотметочная система обучения. </w:t>
      </w:r>
      <w:r/>
    </w:p>
    <w:p>
      <w:pPr>
        <w:pStyle w:val="878"/>
        <w:ind w:left="412" w:right="15"/>
      </w:pPr>
      <w:r>
        <w:t xml:space="preserve">В целях реализации основной образовательной программы  начального общего  образования осуществляется деление на группы в соответствии с локальным актом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СОШ»</w:t>
      </w:r>
      <w:r>
        <w:t xml:space="preserve">: </w:t>
      </w:r>
      <w:r/>
    </w:p>
    <w:p>
      <w:pPr>
        <w:pStyle w:val="878"/>
        <w:ind w:left="412" w:right="15"/>
      </w:pPr>
      <w:r>
        <w:t xml:space="preserve">- при реализации основной общеобразовательной программы при проведении учебных занятий по предмету «Основы религиозных культур и светской этики» в 4 классах в соответствии с изучаемыми модулями курса. </w:t>
      </w:r>
      <w:r/>
    </w:p>
    <w:p>
      <w:pPr>
        <w:pStyle w:val="878"/>
        <w:ind w:left="412" w:right="15"/>
      </w:pPr>
      <w:r>
        <w:t xml:space="preserve">Формирование части учебного плана, формируемой участниками образовательных отношений, проводится с учетом результатов анкетирования обучающихся и их родителей (законных представителей), а также с учетом возможностей условий образовательной организации. </w:t>
      </w:r>
      <w:r/>
    </w:p>
    <w:p>
      <w:pPr>
        <w:pStyle w:val="878"/>
        <w:ind w:left="0" w:firstLine="0"/>
        <w:jc w:val="left"/>
        <w:spacing w:after="29" w:line="259" w:lineRule="auto"/>
      </w:pPr>
      <w:r>
        <w:t xml:space="preserve"> </w:t>
      </w:r>
      <w:r/>
    </w:p>
    <w:p>
      <w:pPr>
        <w:pStyle w:val="879"/>
        <w:numPr>
          <w:ilvl w:val="0"/>
          <w:numId w:val="0"/>
        </w:numPr>
        <w:ind w:left="2216" w:right="1783"/>
      </w:pPr>
      <w:r>
        <w:t xml:space="preserve">4.Структура и содержание учебного плана </w:t>
      </w:r>
      <w:r/>
    </w:p>
    <w:p>
      <w:pPr>
        <w:pStyle w:val="878"/>
        <w:ind w:left="847" w:firstLine="0"/>
        <w:jc w:val="left"/>
        <w:spacing w:after="18" w:line="259" w:lineRule="auto"/>
      </w:pPr>
      <w:r>
        <w:rPr>
          <w:b/>
          <w:i/>
        </w:rPr>
        <w:t xml:space="preserve">  </w:t>
      </w:r>
      <w:r/>
    </w:p>
    <w:p>
      <w:pPr>
        <w:pStyle w:val="878"/>
        <w:ind w:left="412" w:right="15" w:firstLine="420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/>
    </w:p>
    <w:p>
      <w:pPr>
        <w:pStyle w:val="878"/>
        <w:ind w:left="412" w:right="15" w:firstLine="420"/>
      </w:pPr>
      <w:r>
        <w:t xml:space="preserve">Обязательная часть учебного плана определяет состав учебных предметов обязательных предметных областей, которые реализуются в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 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, и учебное время, отводимое на их изучение по классам (годам) обучения. </w:t>
      </w:r>
      <w:r/>
    </w:p>
    <w:p>
      <w:pPr>
        <w:pStyle w:val="878"/>
        <w:ind w:left="412" w:right="15" w:firstLine="427"/>
      </w:pPr>
      <w:r>
        <w:t xml:space="preserve">Обязательная часть учебного плана реализуется через образовательные области, обеспечивающие целостное восприятие мира. </w:t>
      </w:r>
      <w:r/>
    </w:p>
    <w:p>
      <w:pPr>
        <w:pStyle w:val="878"/>
        <w:ind w:left="412" w:right="15" w:firstLine="427"/>
      </w:pPr>
      <w:r>
        <w:rPr>
          <w:b/>
        </w:rPr>
        <w:t xml:space="preserve">Урочная деятельность </w:t>
      </w:r>
      <w:r>
        <w:t xml:space="preserve">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 </w:t>
      </w:r>
      <w:r/>
    </w:p>
    <w:p>
      <w:pPr>
        <w:pStyle w:val="878"/>
        <w:ind w:left="412" w:right="15" w:firstLine="427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</w:t>
      </w:r>
      <w:r>
        <w:t xml:space="preserve">ь внутри максимально допустимой недельной нагрузки обучающихся,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несовершен</w:t>
      </w:r>
      <w:r>
        <w:t xml:space="preserve">нолетних обучающихся, в том числе 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 </w:t>
      </w:r>
      <w:r/>
    </w:p>
    <w:p>
      <w:pPr>
        <w:pStyle w:val="878"/>
        <w:ind w:left="852" w:firstLine="0"/>
        <w:jc w:val="left"/>
        <w:spacing w:after="27" w:line="259" w:lineRule="auto"/>
      </w:pPr>
      <w:r>
        <w:t xml:space="preserve"> </w:t>
      </w:r>
      <w:r/>
    </w:p>
    <w:p>
      <w:pPr>
        <w:pStyle w:val="878"/>
        <w:ind w:firstLine="425"/>
        <w:jc w:val="left"/>
        <w:spacing w:after="2" w:line="278" w:lineRule="auto"/>
      </w:pPr>
      <w:r>
        <w:rPr>
          <w:b/>
          <w:u w:val="single"/>
        </w:rPr>
        <w:t xml:space="preserve">Предметная область </w:t>
      </w:r>
      <w:r>
        <w:rPr>
          <w:b/>
          <w:i/>
          <w:u w:val="single"/>
        </w:rPr>
        <w:t xml:space="preserve">«Русский язык и литературное чтение»</w:t>
      </w:r>
      <w:r>
        <w:rPr>
          <w:b/>
        </w:rPr>
        <w:t xml:space="preserve"> </w:t>
      </w:r>
      <w:r>
        <w:t xml:space="preserve">представлена учебными предметами</w:t>
      </w:r>
      <w:r>
        <w:rPr>
          <w:b/>
        </w:rPr>
        <w:t xml:space="preserve"> </w:t>
      </w:r>
      <w:r>
        <w:rPr>
          <w:i/>
        </w:rPr>
        <w:t xml:space="preserve">«Русский язык», «Литературное чтение».</w:t>
      </w:r>
      <w:r>
        <w:t xml:space="preserve"> </w:t>
      </w:r>
      <w:r/>
    </w:p>
    <w:p>
      <w:pPr>
        <w:pStyle w:val="878"/>
        <w:ind w:left="412" w:right="15" w:firstLine="425"/>
      </w:pPr>
      <w:r>
        <w:t xml:space="preserve">Учебный предмет </w:t>
      </w:r>
      <w:r>
        <w:rPr>
          <w:b/>
          <w:i/>
        </w:rPr>
        <w:t xml:space="preserve">«Русский язык»</w:t>
      </w:r>
      <w:r>
        <w:t xml:space="preserve"> в начальной школе – часть единого непрерывного курса обучения в начальной школе. Основное назнач</w:t>
      </w:r>
      <w:r>
        <w:t xml:space="preserve">ение данного предмета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  «Русский язык» изучается в I-IV классах 5 часов в неделю.  </w:t>
      </w:r>
      <w:r/>
    </w:p>
    <w:p>
      <w:pPr>
        <w:pStyle w:val="878"/>
        <w:ind w:left="412" w:right="15" w:firstLine="425"/>
      </w:pPr>
      <w:r>
        <w:t xml:space="preserve">Учебный предмет </w:t>
      </w:r>
      <w:r>
        <w:rPr>
          <w:b/>
          <w:i/>
        </w:rPr>
        <w:t xml:space="preserve">«Литературное чтение»</w:t>
      </w:r>
      <w:r>
        <w:t xml:space="preserve"> - один из основных предметов в системе начального основного образования. Наряду с русским языком он формирует функциональную грамотность, способствует общему развитию и воспитанию ребёнка.   Приоритетной целью обучения литературно</w:t>
      </w:r>
      <w:r>
        <w:t xml:space="preserve">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</w:t>
      </w:r>
      <w:r>
        <w:t xml:space="preserve">хникой чтения, приёмами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 «Литературное чтение» изучается   в   I- IV классах - 4 часа в неделю. </w:t>
      </w:r>
      <w:r/>
    </w:p>
    <w:p>
      <w:pPr>
        <w:pStyle w:val="878"/>
        <w:ind w:left="283" w:right="15" w:firstLine="427"/>
      </w:pPr>
      <w:r>
        <w:rPr>
          <w:b/>
          <w:u w:val="single"/>
        </w:rPr>
        <w:t xml:space="preserve">Предметная область </w:t>
      </w:r>
      <w:r>
        <w:rPr>
          <w:b/>
          <w:i/>
          <w:u w:val="single"/>
        </w:rPr>
        <w:t xml:space="preserve">«Иностранный язык»</w:t>
      </w:r>
      <w:r>
        <w:rPr>
          <w:b/>
        </w:rPr>
        <w:t xml:space="preserve"> </w:t>
      </w:r>
      <w:r>
        <w:t xml:space="preserve">представлена учебным предметом «</w:t>
      </w:r>
      <w:r>
        <w:rPr>
          <w:b/>
          <w:i/>
          <w:lang w:val="ru-RU"/>
        </w:rPr>
        <w:t xml:space="preserve">Немецкий язык</w:t>
      </w:r>
      <w:r>
        <w:rPr>
          <w:b/>
          <w:i/>
        </w:rPr>
        <w:t xml:space="preserve">»,</w:t>
      </w:r>
      <w:r>
        <w:t xml:space="preserve"> который   изучается во II-IV классах по 2 часа в неделю.  </w:t>
      </w:r>
      <w:r/>
    </w:p>
    <w:p>
      <w:pPr>
        <w:pStyle w:val="878"/>
        <w:ind w:left="283" w:right="15" w:firstLine="427"/>
      </w:pPr>
      <w:r>
        <w:t xml:space="preserve">Данный </w:t>
      </w:r>
      <w:r>
        <w:t xml:space="preserve">предмет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  <w:r/>
    </w:p>
    <w:p>
      <w:pPr>
        <w:pStyle w:val="878"/>
        <w:ind w:left="283" w:firstLine="427"/>
        <w:jc w:val="left"/>
        <w:spacing w:after="0" w:line="279" w:lineRule="auto"/>
      </w:pPr>
      <w:r>
        <w:rPr>
          <w:b/>
          <w:u w:val="single"/>
        </w:rPr>
        <w:t xml:space="preserve">Предметная область «Математика и информатика»</w:t>
      </w:r>
      <w:r>
        <w:t xml:space="preserve"> представлена учебным предметом </w:t>
      </w:r>
      <w:r>
        <w:rPr>
          <w:b/>
        </w:rPr>
        <w:t xml:space="preserve">«</w:t>
      </w:r>
      <w:r>
        <w:rPr>
          <w:b/>
          <w:i/>
        </w:rPr>
        <w:t xml:space="preserve">Математика</w:t>
      </w:r>
      <w:r>
        <w:rPr>
          <w:b/>
        </w:rPr>
        <w:t xml:space="preserve">»</w:t>
      </w:r>
      <w:r>
        <w:t xml:space="preserve">.  </w:t>
      </w:r>
      <w:r/>
    </w:p>
    <w:p>
      <w:pPr>
        <w:pStyle w:val="878"/>
        <w:ind w:left="283" w:right="15" w:firstLine="427"/>
      </w:pPr>
      <w:r>
        <w:t xml:space="preserve">Основные задачи н</w:t>
      </w:r>
      <w:r>
        <w:t xml:space="preserve">ачального обучения математике направлены на формирование  у младших школьников элементарных математических представлений и структуры мышления, подготовку их к дальнейшему изучению предмета. Поставленные задачи решаются за счет использования различных прогр</w:t>
      </w:r>
      <w:r>
        <w:t xml:space="preserve">амм и интеграции данной предметной области с геометрией и информатикой, что обеспечивает высокий развивающий эффект обучения, интенсивное его влияние на умственное развитие детей. На изучение  математики  отводится в  I-IV  классах по 4 часа в неделю.     </w:t>
      </w:r>
      <w:r/>
    </w:p>
    <w:p>
      <w:pPr>
        <w:pStyle w:val="878"/>
        <w:ind w:left="283" w:right="15" w:firstLine="427"/>
      </w:pPr>
      <w:r>
        <w:rPr>
          <w:b/>
          <w:u w:val="single"/>
        </w:rPr>
        <w:t xml:space="preserve">Предметная область</w:t>
      </w:r>
      <w:r>
        <w:rPr>
          <w:u w:val="single"/>
        </w:rPr>
        <w:t xml:space="preserve"> </w:t>
      </w:r>
      <w:r>
        <w:rPr>
          <w:b/>
          <w:i/>
          <w:u w:val="single"/>
        </w:rPr>
        <w:t xml:space="preserve">«Обществознание и естествознание» (Окружающий мир)</w:t>
      </w:r>
      <w:r>
        <w:t xml:space="preserve"> представлена предметом </w:t>
      </w:r>
      <w:r>
        <w:rPr>
          <w:b/>
          <w:i/>
        </w:rPr>
        <w:t xml:space="preserve">«Окружающий мир», </w:t>
      </w:r>
      <w:r>
        <w:t xml:space="preserve">который</w:t>
      </w:r>
      <w:r>
        <w:rPr>
          <w:b/>
          <w:i/>
        </w:rPr>
        <w:t xml:space="preserve">    </w:t>
      </w:r>
      <w:r>
        <w:t xml:space="preserve"> изучается с I по IV класс по 2 часа в неделю.  </w:t>
      </w:r>
      <w:r/>
    </w:p>
    <w:p>
      <w:pPr>
        <w:pStyle w:val="878"/>
        <w:ind w:left="283" w:right="15" w:firstLine="427"/>
      </w:pPr>
      <w:r>
        <w:t xml:space="preserve">Учебный предмет является интегрированным и практико-ориентированным. В его содержание дополнительно введены развивающ</w:t>
      </w:r>
      <w:r>
        <w:t xml:space="preserve">ие модули и разделы социальногуманитарной направленности, а также элементы основ безопасности жизнедеятельности. Его ведение характеризуется важным и необходимым условием стабильного развития нашего государства с целью личной безопасности каждого ребёнка. </w:t>
      </w:r>
      <w:r/>
    </w:p>
    <w:p>
      <w:pPr>
        <w:pStyle w:val="878"/>
        <w:ind w:left="283" w:right="15" w:firstLine="427"/>
      </w:pPr>
      <w:r>
        <w:rPr>
          <w:b/>
          <w:u w:val="single"/>
        </w:rPr>
        <w:t xml:space="preserve">Предметная область </w:t>
      </w:r>
      <w:r>
        <w:rPr>
          <w:b/>
          <w:i/>
          <w:u w:val="single"/>
        </w:rPr>
        <w:t xml:space="preserve">«Искусство»</w:t>
      </w:r>
      <w:r>
        <w:rPr>
          <w:i/>
        </w:rPr>
        <w:t xml:space="preserve"> </w:t>
      </w:r>
      <w:r>
        <w:t xml:space="preserve">представлена учебными предметами </w:t>
      </w:r>
      <w:r>
        <w:rPr>
          <w:b/>
          <w:i/>
        </w:rPr>
        <w:t xml:space="preserve">«Музыка»</w:t>
      </w:r>
      <w:r>
        <w:t xml:space="preserve"> и </w:t>
      </w:r>
      <w:r>
        <w:rPr>
          <w:b/>
          <w:i/>
        </w:rPr>
        <w:t xml:space="preserve">«Изобразительное искусство».  </w:t>
      </w:r>
      <w:r>
        <w:t xml:space="preserve">Эти предметы направлены на ра</w:t>
      </w:r>
      <w:r>
        <w:t xml:space="preserve">звитие способности к эмоционально-ценностному восприятию изобразительного и музыкального искусства, выражению в творческих работах своего отношения к окружающему миру. Преподавание каждого предмета является непрерывным в I-IV классах по 1 часу в неделю.   </w:t>
      </w:r>
      <w:r/>
    </w:p>
    <w:p>
      <w:pPr>
        <w:pStyle w:val="878"/>
        <w:ind w:left="283" w:right="15" w:firstLine="427"/>
      </w:pPr>
      <w:r>
        <w:rPr>
          <w:b/>
          <w:u w:val="single"/>
        </w:rPr>
        <w:t xml:space="preserve">Предметная область </w:t>
      </w:r>
      <w:r>
        <w:rPr>
          <w:b/>
          <w:i/>
          <w:u w:val="single"/>
        </w:rPr>
        <w:t xml:space="preserve">«Технология»</w:t>
      </w:r>
      <w:r>
        <w:rPr>
          <w:i/>
        </w:rPr>
        <w:t xml:space="preserve"> </w:t>
      </w:r>
      <w:r>
        <w:t xml:space="preserve">представлена учебным предметом </w:t>
      </w:r>
      <w:r>
        <w:rPr>
          <w:b/>
          <w:i/>
        </w:rPr>
        <w:t xml:space="preserve">«Технология»</w:t>
      </w:r>
      <w:r>
        <w:t xml:space="preserve"> и характеризуется следующими особенностями учебного предмета: практ</w:t>
      </w:r>
      <w:r>
        <w:t xml:space="preserve">икоориентированной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</w:t>
      </w:r>
      <w:r>
        <w:t xml:space="preserve">для выполнения домашних трудовых обязанностей. В   I-IV классах предмет изучается 1 час в неделю. В рамках учебного предмета «Технология» в качестве учебного модуля в III-IV классах изучается «Информатика и информационнокоммуникационные технологии (ИКТ)». </w:t>
      </w:r>
      <w:r/>
    </w:p>
    <w:p>
      <w:pPr>
        <w:pStyle w:val="878"/>
        <w:ind w:left="283" w:right="15" w:firstLine="427"/>
      </w:pPr>
      <w:r>
        <w:rPr>
          <w:b/>
          <w:u w:val="single"/>
        </w:rPr>
        <w:t xml:space="preserve">Предметная область </w:t>
      </w:r>
      <w:r>
        <w:rPr>
          <w:b/>
          <w:i/>
          <w:u w:val="single"/>
        </w:rPr>
        <w:t xml:space="preserve">«Физическая культура»</w:t>
      </w:r>
      <w:r>
        <w:rPr>
          <w:i/>
        </w:rPr>
        <w:t xml:space="preserve"> </w:t>
      </w:r>
      <w:r>
        <w:t xml:space="preserve">представлена учебным предметом  </w:t>
      </w:r>
      <w:r>
        <w:rPr>
          <w:b/>
          <w:i/>
        </w:rPr>
        <w:t xml:space="preserve">«Физическая культура»</w:t>
      </w:r>
      <w:r>
        <w:t xml:space="preserve">, который  изучается в I- IV классах   по 2 часа в неделю.  </w:t>
      </w:r>
      <w:r/>
    </w:p>
    <w:p>
      <w:pPr>
        <w:pStyle w:val="878"/>
        <w:ind w:left="283" w:right="15" w:firstLine="427"/>
      </w:pPr>
      <w:r>
        <w:t xml:space="preserve">Данный предмет направлен на укрепление здоровья, содействие гармоничн</w:t>
      </w:r>
      <w:r>
        <w:t xml:space="preserve">ому физическому, нравственному и социальному развитию обучающихся, формирование первоначальных умений саморегуляции средствами физической культуры, формирование установки на сохранение и укрепление здоровья, навыков здорового и безопасного образа жизни.   </w:t>
      </w:r>
      <w:r/>
    </w:p>
    <w:p>
      <w:pPr>
        <w:pStyle w:val="878"/>
        <w:ind w:left="283" w:right="15" w:firstLine="427"/>
      </w:pPr>
      <w:r>
        <w:t xml:space="preserve"> В  IV классе изучается </w:t>
      </w:r>
      <w:r>
        <w:rPr>
          <w:b/>
          <w:u w:val="single"/>
        </w:rPr>
        <w:t xml:space="preserve">предметная область «Основы религиозных культур и</w:t>
      </w:r>
      <w:r>
        <w:rPr>
          <w:b/>
        </w:rPr>
        <w:t xml:space="preserve"> </w:t>
      </w:r>
      <w:r>
        <w:rPr>
          <w:b/>
          <w:u w:val="single"/>
        </w:rPr>
        <w:t xml:space="preserve">светской этики»</w:t>
      </w:r>
      <w:r>
        <w:rPr>
          <w:i/>
        </w:rPr>
        <w:t xml:space="preserve">,</w:t>
      </w:r>
      <w:r>
        <w:rPr>
          <w:b/>
        </w:rPr>
        <w:t xml:space="preserve"> </w:t>
      </w:r>
      <w:r>
        <w:t xml:space="preserve">представленная учебным предметом </w:t>
      </w:r>
      <w:r>
        <w:rPr>
          <w:b/>
        </w:rPr>
        <w:t xml:space="preserve">«Основы религиозных культур и светской этики», </w:t>
      </w:r>
      <w:r>
        <w:t xml:space="preserve">который изучается</w:t>
      </w:r>
      <w:r>
        <w:rPr>
          <w:b/>
        </w:rPr>
        <w:t xml:space="preserve">  </w:t>
      </w:r>
      <w:r>
        <w:t xml:space="preserve">1 час в неделю. </w:t>
      </w:r>
      <w:r/>
    </w:p>
    <w:p>
      <w:pPr>
        <w:pStyle w:val="878"/>
        <w:ind w:left="283" w:right="15" w:firstLine="427"/>
      </w:pPr>
      <w:r>
        <w:t xml:space="preserve">Изучение данного предмета направлено на формирование у обучающихся мотивации к осознанному нравственному поведению, основанному знании и уважении культурных и религиозных традиций многонациональных народов России. </w:t>
      </w:r>
      <w:r/>
    </w:p>
    <w:p>
      <w:pPr>
        <w:pStyle w:val="878"/>
        <w:ind w:left="283" w:right="15" w:firstLine="427"/>
      </w:pPr>
      <w:r>
        <w:t xml:space="preserve">В рамках учебного курса «Основы религиозных культур и светской этики» (далее ОРКСЭ) по выбору родителей (законных представителей) изучаются основы православной культуры, основы светской этики. Выбор моду</w:t>
      </w:r>
      <w:r>
        <w:t xml:space="preserve">ля, изучаемого в рамках курса ОРКСЭ, осуществляется родителями (законными представителями) обучающихся на основании письменных заявлений и фиксируется протоколами родительских собраний. На основании произведѐнного выбора формируются группы   обучающихся.  </w:t>
      </w:r>
      <w:r/>
    </w:p>
    <w:p>
      <w:pPr>
        <w:pStyle w:val="878"/>
        <w:ind w:left="283" w:right="15" w:firstLine="427"/>
      </w:pPr>
      <w:r>
        <w:rPr>
          <w:b/>
          <w:i/>
        </w:rPr>
        <w:t xml:space="preserve">Часть учебного плана, формируемая участниками образовательных отношений,</w:t>
      </w:r>
      <w:r>
        <w:t xml:space="preserve"> представлена учебным предметом «Финансовая</w:t>
      </w:r>
      <w:r>
        <w:t xml:space="preserve"> грамотность», который реализуется во 2-3 классах и направлен развитие основ экономического образа мышления; воспитание ответственного и грамотного финансового поведения; развитие учебно-познавательного интереса в области экономических отношений в семье.  </w:t>
      </w:r>
      <w:r/>
    </w:p>
    <w:p>
      <w:pPr>
        <w:pStyle w:val="878"/>
        <w:ind w:left="283" w:right="15" w:firstLine="427"/>
      </w:pPr>
      <w:r>
        <w:t xml:space="preserve">Формирование данной части учебного плана проходило с учетом мнения родителей (законных представителей) обучающихся, выявленного в процессе опроса.  </w:t>
      </w:r>
      <w:r/>
    </w:p>
    <w:p>
      <w:pPr>
        <w:pStyle w:val="878"/>
        <w:ind w:left="710" w:firstLine="0"/>
        <w:jc w:val="left"/>
        <w:spacing w:after="0" w:line="259" w:lineRule="auto"/>
      </w:pPr>
      <w:r>
        <w:t xml:space="preserve"> </w:t>
      </w:r>
      <w:r/>
    </w:p>
    <w:p>
      <w:pPr>
        <w:pStyle w:val="878"/>
        <w:ind w:left="283" w:right="15" w:firstLine="427"/>
      </w:pPr>
      <w:r>
        <w:t xml:space="preserve">Учебный план не предусматривает преподавание учебных предметов «Родной язык» и «Литературное чтение на родном языке», т.к  в заявлениях родителей не выражено желание изучать указанные учебные предметы. </w:t>
      </w:r>
      <w:r/>
    </w:p>
    <w:p>
      <w:pPr>
        <w:pStyle w:val="878"/>
        <w:ind w:left="710" w:firstLine="0"/>
        <w:jc w:val="left"/>
        <w:spacing w:after="29" w:line="259" w:lineRule="auto"/>
      </w:pPr>
      <w:r>
        <w:t xml:space="preserve"> </w:t>
      </w:r>
      <w:r/>
    </w:p>
    <w:p>
      <w:pPr>
        <w:pStyle w:val="878"/>
        <w:ind w:left="2216" w:hanging="10"/>
        <w:jc w:val="left"/>
        <w:spacing w:after="17" w:line="267" w:lineRule="auto"/>
      </w:pPr>
      <w:r>
        <w:rPr>
          <w:b/>
        </w:rPr>
        <w:t xml:space="preserve">6. Формы   промежуточной аттестации обучающихся </w:t>
      </w:r>
      <w:r/>
    </w:p>
    <w:p>
      <w:pPr>
        <w:pStyle w:val="878"/>
        <w:ind w:left="0" w:right="15"/>
      </w:pPr>
      <w:r>
        <w:t xml:space="preserve">П</w:t>
      </w:r>
      <w:r>
        <w:t xml:space="preserve">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программой, по каждому учебному предмету, курсу, дисциплине, модулю по итогам учебного года.  </w:t>
      </w:r>
      <w:r/>
    </w:p>
    <w:p>
      <w:pPr>
        <w:pStyle w:val="878"/>
        <w:ind w:left="0" w:right="15"/>
      </w:pPr>
      <w:r>
        <w:t xml:space="preserve">Промежуточная аттестация проводит</w:t>
      </w:r>
      <w:r>
        <w:t xml:space="preserve">ся без прекращения образовательной деятельности в соответствии с «Положением о формах, периодичности, порядке текущего контроля успеваемости и промежуточной аттестации обучающихся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СОШ» и в сроки, установленные календарным учебным графиком школы.  </w:t>
      </w:r>
      <w:r/>
    </w:p>
    <w:p>
      <w:pPr>
        <w:pStyle w:val="878"/>
        <w:ind w:left="0" w:right="15"/>
      </w:pPr>
      <w:r>
        <w:t xml:space="preserve">Промежуточная аттестация обучающихся 2-4 классов проводится по каждому учебному предмету на основе четвертных резул</w:t>
      </w:r>
      <w:r>
        <w:t xml:space="preserve">ьтатов и представляет собой округленное по законам математики до целого числа среднее арифметическое четвертных отметок, полученных обучающимся по данному предмету. Фиксация результатов промежуточной аттестации осуществляется по четырехбалльной   системе. </w:t>
      </w:r>
      <w:r/>
    </w:p>
    <w:p>
      <w:pPr>
        <w:pStyle w:val="878"/>
        <w:ind w:left="0" w:right="15"/>
      </w:pPr>
      <w:r>
        <w:t xml:space="preserve">При изучении курса «Основы религиозн</w:t>
      </w:r>
      <w:r>
        <w:t xml:space="preserve">ых культур и светской этики» применяется безотметочная система оценивания, но для оценки успешности освоения обучающимися образовательной программы используются следующие формы: создание тематических проектов, презентаций, творческие отчеты учащихся и др. </w:t>
      </w:r>
      <w:r/>
    </w:p>
    <w:p>
      <w:pPr>
        <w:pStyle w:val="878"/>
        <w:ind w:left="0" w:right="15" w:firstLine="0"/>
      </w:pPr>
      <w:r>
        <w:t xml:space="preserve">         Промежуточная аттестация в 1 классе представляет собой комплексн</w:t>
      </w:r>
      <w:r>
        <w:t xml:space="preserve">ую работу и заключение учителя (классного руководителя) об освоении учащимися соответствующей части основной образовательной   программы начального общего образования в конце учебного года, которое    заслушивается и утверждается на педагогическом совете. </w:t>
      </w:r>
      <w:r/>
    </w:p>
    <w:p>
      <w:pPr>
        <w:pStyle w:val="878"/>
        <w:ind w:lef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  <w:rPr>
          <w:b/>
          <w:bCs/>
          <w:highlight w:val="none"/>
        </w:rPr>
      </w:pPr>
      <w:r>
        <w:rPr>
          <w:b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/>
      <w:r/>
    </w:p>
    <w:p>
      <w:pPr>
        <w:ind w:left="623" w:firstLine="0"/>
        <w:jc w:val="center"/>
        <w:spacing w:after="31" w:line="259" w:lineRule="auto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31" w:line="259" w:lineRule="auto"/>
      </w:pPr>
      <w:r>
        <w:rPr>
          <w:b/>
        </w:rPr>
        <w:t xml:space="preserve"> </w:t>
      </w:r>
      <w:r/>
    </w:p>
    <w:p>
      <w:pPr>
        <w:pStyle w:val="878"/>
        <w:ind w:left="623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879"/>
        <w:numPr>
          <w:ilvl w:val="0"/>
          <w:numId w:val="0"/>
        </w:numPr>
        <w:ind w:left="2216" w:right="1525"/>
        <w:spacing w:line="328" w:lineRule="auto"/>
        <w:rPr>
          <w:highlight w:val="none"/>
        </w:rPr>
      </w:pPr>
      <w:r>
        <w:t xml:space="preserve">Учебный   план   начального   общего   образования   в соответствии с ФГОС -2021 и ФОП НОО 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0" w:firstLine="0"/>
        <w:jc w:val="left"/>
        <w:spacing w:after="0" w:line="259" w:lineRule="auto"/>
      </w:pPr>
      <w:r>
        <w:rPr>
          <w:b/>
          <w:sz w:val="22"/>
        </w:rPr>
        <w:t xml:space="preserve"> </w:t>
      </w:r>
      <w:r/>
    </w:p>
    <w:tbl>
      <w:tblPr>
        <w:tblW w:w="9940" w:type="dxa"/>
        <w:tblInd w:w="-151" w:type="dxa"/>
        <w:tblLayout w:type="autofit"/>
        <w:tblCellMar>
          <w:left w:w="34" w:type="dxa"/>
          <w:top w:w="84" w:type="dxa"/>
          <w:right w:w="99" w:type="dxa"/>
          <w:bottom w:w="0" w:type="dxa"/>
        </w:tblCellMar>
        <w:tblLook w:val="04A0" w:firstRow="1" w:lastRow="0" w:firstColumn="1" w:lastColumn="0" w:noHBand="0" w:noVBand="1"/>
      </w:tblPr>
      <w:tblGrid>
        <w:gridCol w:w="2275"/>
        <w:gridCol w:w="2360"/>
        <w:gridCol w:w="1042"/>
        <w:gridCol w:w="1042"/>
        <w:gridCol w:w="1042"/>
        <w:gridCol w:w="1046"/>
        <w:gridCol w:w="1133"/>
      </w:tblGrid>
      <w:tr>
        <w:trPr>
          <w:trHeight w:val="3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Предметные области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Учебные предметы/классы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042" w:type="dxa"/>
            <w:vAlign w:val="bottom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130" w:type="dxa"/>
            <w:vAlign w:val="center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Количество часов в неделю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40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Всего </w:t>
            </w:r>
            <w:r/>
          </w:p>
        </w:tc>
      </w:tr>
      <w:tr>
        <w:trPr>
          <w:trHeight w:val="4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auto"/>
            <w:vAlign w:val="top"/>
            <w:vMerge w:val="continue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auto"/>
            <w:vAlign w:val="top"/>
            <w:vMerge w:val="continue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10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I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68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II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10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III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11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IV 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auto"/>
            <w:vAlign w:val="top"/>
            <w:vMerge w:val="continue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rPr>
          <w:trHeight w:val="46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63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Обязательная часть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878"/>
              <w:ind w:left="776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rPr>
          <w:trHeight w:val="4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Русский язык и литературное чтение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Русский язык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0" w:right="7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20 </w:t>
            </w:r>
            <w:r/>
          </w:p>
        </w:tc>
      </w:tr>
      <w:tr>
        <w:trPr>
          <w:trHeight w:val="468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auto"/>
            <w:vAlign w:val="top"/>
            <w:vMerge w:val="continue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Литературное чтение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0" w:right="7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16 </w:t>
            </w:r>
            <w:r/>
          </w:p>
        </w:tc>
      </w:tr>
      <w:tr>
        <w:trPr>
          <w:trHeight w:val="4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Иностранный язык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Английский язык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10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-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6 </w:t>
            </w:r>
            <w:r/>
          </w:p>
        </w:tc>
      </w:tr>
      <w:tr>
        <w:trPr>
          <w:trHeight w:val="7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Математика и информатика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top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Математика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0" w:right="7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16 </w:t>
            </w:r>
            <w:r/>
          </w:p>
        </w:tc>
      </w:tr>
      <w:tr>
        <w:trPr>
          <w:trHeight w:val="10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45" w:line="284" w:lineRule="auto"/>
            </w:pPr>
            <w:r>
              <w:rPr>
                <w:sz w:val="22"/>
              </w:rPr>
              <w:t xml:space="preserve">Обществознание и естествознание </w:t>
            </w:r>
            <w:r/>
          </w:p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(Окружающий мир)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top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Окружающий мир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8 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878"/>
              <w:ind w:left="118" w:right="15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Основы религиозных культур и светской этики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top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Основы религиозных культур и светской этики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10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-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10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-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10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-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</w:tr>
      <w:tr>
        <w:trPr>
          <w:trHeight w:val="7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Искусство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Изобразительное искусство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</w:tr>
      <w:tr>
        <w:trPr>
          <w:trHeight w:val="468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auto"/>
            <w:vAlign w:val="top"/>
            <w:vMerge w:val="continue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Музыка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</w:tr>
      <w:tr>
        <w:trPr>
          <w:trHeight w:val="4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Технология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Технология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4 </w:t>
            </w:r>
            <w:r/>
          </w:p>
        </w:tc>
      </w:tr>
      <w:tr>
        <w:trPr>
          <w:trHeight w:val="7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878"/>
              <w:ind w:left="118" w:right="2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Физическая культура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0" w:type="dxa"/>
            <w:vAlign w:val="top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Физическая культура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8 </w:t>
            </w:r>
            <w:r/>
          </w:p>
        </w:tc>
      </w:tr>
      <w:tr>
        <w:trPr>
          <w:trHeight w:val="46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Итого: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344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34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344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34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0" w:right="74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88 </w:t>
            </w:r>
            <w:r/>
          </w:p>
        </w:tc>
      </w:tr>
      <w:tr>
        <w:trPr>
          <w:trHeight w:val="77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Часть, формируемая участниками образовательных отношений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0" w:right="89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</w:tr>
      <w:tr>
        <w:trPr>
          <w:trHeight w:val="46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Ф</w:t>
            </w:r>
            <w:r>
              <w:rPr>
                <w:sz w:val="22"/>
                <w:highlight w:val="white"/>
                <w:lang w:val="ru-RU"/>
              </w:rPr>
              <w:t xml:space="preserve">ункциональная </w:t>
            </w:r>
            <w:r>
              <w:rPr>
                <w:sz w:val="22"/>
                <w:highlight w:val="white"/>
              </w:rPr>
              <w:t xml:space="preserve"> грамотность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76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0" w:right="86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77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761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2 </w:t>
            </w:r>
            <w:r/>
          </w:p>
        </w:tc>
      </w:tr>
      <w:tr>
        <w:trPr>
          <w:trHeight w:val="47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Учебные недели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344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34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344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34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509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135 </w:t>
            </w:r>
            <w:r/>
          </w:p>
        </w:tc>
      </w:tr>
      <w:tr>
        <w:trPr>
          <w:trHeight w:val="46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118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Всего часов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21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693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21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782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21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782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463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782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456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3039 </w:t>
            </w:r>
            <w:r/>
          </w:p>
        </w:tc>
      </w:tr>
      <w:tr>
        <w:trPr>
          <w:trHeight w:val="138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5" w:type="dxa"/>
            <w:vAlign w:val="center"/>
            <w:textDirection w:val="lrTb"/>
            <w:noWrap w:val="false"/>
          </w:tcPr>
          <w:p>
            <w:pPr>
              <w:pStyle w:val="878"/>
              <w:ind w:left="118" w:right="4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10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10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" w:type="dxa"/>
            <w:vAlign w:val="top"/>
            <w:textDirection w:val="lrTb"/>
            <w:noWrap w:val="false"/>
          </w:tcPr>
          <w:p>
            <w:pPr>
              <w:pStyle w:val="878"/>
              <w:ind w:left="10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878"/>
              <w:ind w:left="34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78"/>
              <w:ind w:left="6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90 </w:t>
            </w:r>
            <w:r/>
          </w:p>
        </w:tc>
      </w:tr>
    </w:tbl>
    <w:p>
      <w:pPr>
        <w:pStyle w:val="878"/>
        <w:ind w:left="619" w:firstLine="0"/>
        <w:jc w:val="center"/>
        <w:spacing w:after="26" w:line="259" w:lineRule="auto"/>
      </w:pPr>
      <w:r>
        <w:rPr>
          <w:b/>
          <w:sz w:val="22"/>
        </w:rPr>
        <w:t xml:space="preserve"> </w:t>
      </w:r>
      <w:r/>
    </w:p>
    <w:p>
      <w:pPr>
        <w:pStyle w:val="878"/>
        <w:ind w:left="619" w:firstLine="0"/>
        <w:jc w:val="center"/>
        <w:spacing w:after="0" w:line="259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</w:r>
      <w:r>
        <w:rPr>
          <w:b/>
          <w:sz w:val="22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300" w:right="844" w:bottom="433" w:left="141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left="0" w:firstLine="0"/>
      <w:jc w:val="left"/>
      <w:spacing w:after="0" w:line="259" w:lineRule="auto"/>
      <w:tabs>
        <w:tab w:val="right" w:pos="9643" w:leader="none"/>
      </w:tabs>
    </w:pPr>
    <w:r>
      <w:t xml:space="preserve"> </w:t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left="0" w:firstLine="0"/>
      <w:jc w:val="left"/>
      <w:spacing w:after="0" w:line="259" w:lineRule="auto"/>
      <w:tabs>
        <w:tab w:val="right" w:pos="9643" w:leader="none"/>
      </w:tabs>
    </w:pPr>
    <w:r>
      <w:t xml:space="preserve"> </w:t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lef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multiLevelType w:val="hybridMultilevel"/>
    <w:lvl w:ilvl="0">
      <w:start w:val="2"/>
      <w:numFmt w:val="decimal"/>
      <w:pStyle w:val="879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21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493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65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37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09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81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53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25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80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80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80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80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80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80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80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80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80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80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basedOn w:val="880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basedOn w:val="880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0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0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ind w:left="427" w:firstLine="556"/>
      <w:jc w:val="both"/>
      <w:spacing w:after="12" w:line="268" w:lineRule="auto"/>
    </w:pPr>
    <w:rPr>
      <w:rFonts w:ascii="Times New Roman" w:hAnsi="Times New Roman"/>
      <w:color w:val="000000"/>
      <w:sz w:val="24"/>
      <w:szCs w:val="22"/>
      <w:lang w:val="en-US" w:eastAsia="en-US" w:bidi="ar-SA"/>
    </w:rPr>
  </w:style>
  <w:style w:type="paragraph" w:styleId="879">
    <w:name w:val="Heading 1"/>
    <w:next w:val="878"/>
    <w:link w:val="883"/>
    <w:uiPriority w:val="9"/>
    <w:unhideWhenUsed/>
    <w:qFormat/>
    <w:pPr>
      <w:numPr>
        <w:ilvl w:val="0"/>
        <w:numId w:val="3"/>
      </w:numPr>
      <w:ind w:left="10" w:right="7" w:hanging="10"/>
      <w:jc w:val="center"/>
      <w:keepLines/>
      <w:keepNext/>
      <w:spacing w:line="259" w:lineRule="auto"/>
      <w:outlineLvl w:val="0"/>
    </w:pPr>
    <w:rPr>
      <w:rFonts w:ascii="Times New Roman" w:hAnsi="Times New Roman"/>
      <w:b/>
      <w:color w:val="000000"/>
      <w:sz w:val="24"/>
      <w:szCs w:val="22"/>
      <w:lang w:val="en-US" w:eastAsia="en-US" w:bidi="ar-SA"/>
    </w:rPr>
  </w:style>
  <w:style w:type="character" w:styleId="880" w:default="1">
    <w:name w:val="Default Paragraph Font"/>
    <w:next w:val="880"/>
    <w:link w:val="878"/>
    <w:uiPriority w:val="1"/>
    <w:semiHidden/>
    <w:unhideWhenUsed/>
  </w:style>
  <w:style w:type="table" w:styleId="881">
    <w:name w:val="Table Normal"/>
    <w:next w:val="881"/>
    <w:link w:val="878"/>
    <w:uiPriority w:val="99"/>
    <w:semiHidden/>
    <w:unhideWhenUsed/>
    <w:tblPr/>
  </w:style>
  <w:style w:type="numbering" w:styleId="882" w:default="1">
    <w:name w:val="No List"/>
    <w:next w:val="882"/>
    <w:link w:val="878"/>
    <w:uiPriority w:val="99"/>
    <w:semiHidden/>
    <w:unhideWhenUsed/>
  </w:style>
  <w:style w:type="character" w:styleId="883">
    <w:name w:val="Heading 1 Char"/>
    <w:next w:val="883"/>
    <w:link w:val="879"/>
    <w:rPr>
      <w:rFonts w:ascii="Times New Roman" w:hAnsi="Times New Roman" w:eastAsia="Times New Roman" w:cs="Times New Roman"/>
      <w:b/>
      <w:color w:val="000000"/>
      <w:sz w:val="24"/>
    </w:rPr>
  </w:style>
  <w:style w:type="table" w:styleId="884">
    <w:name w:val="TableGrid1"/>
    <w:next w:val="884"/>
    <w:link w:val="878"/>
    <w:rPr>
      <w:sz w:val="22"/>
      <w:szCs w:val="22"/>
      <w:lang w:val="en-US" w:eastAsia="en-US" w:bidi="ar-SA"/>
    </w:rPr>
    <w:tblPr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Bill Gates</dc:creator>
  <cp:revision>6</cp:revision>
  <dcterms:created xsi:type="dcterms:W3CDTF">2023-10-11T10:56:00Z</dcterms:created>
  <dcterms:modified xsi:type="dcterms:W3CDTF">2023-10-24T10:16:08Z</dcterms:modified>
  <cp:version>1048576</cp:version>
</cp:coreProperties>
</file>