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97" w:rsidRDefault="00890E5F" w:rsidP="00976097">
      <w:pPr>
        <w:tabs>
          <w:tab w:val="left" w:pos="3927"/>
          <w:tab w:val="center" w:pos="7938"/>
        </w:tabs>
        <w:jc w:val="center"/>
        <w:rPr>
          <w:b/>
          <w:sz w:val="28"/>
          <w:szCs w:val="28"/>
        </w:rPr>
      </w:pPr>
      <w:r w:rsidRPr="00071F2D">
        <w:rPr>
          <w:b/>
          <w:sz w:val="20"/>
          <w:szCs w:val="20"/>
        </w:rPr>
        <w:br w:type="textWrapping" w:clear="all"/>
      </w:r>
      <w:r w:rsidR="00976097">
        <w:rPr>
          <w:b/>
          <w:sz w:val="28"/>
          <w:szCs w:val="28"/>
        </w:rPr>
        <w:t>Результаты ЕГЭ МКОУ «Таборинская СОШ» в 2019 году.</w:t>
      </w:r>
    </w:p>
    <w:p w:rsidR="00976097" w:rsidRDefault="00976097" w:rsidP="00976097">
      <w:pPr>
        <w:jc w:val="center"/>
        <w:rPr>
          <w:b/>
          <w:sz w:val="28"/>
          <w:szCs w:val="28"/>
        </w:rPr>
      </w:pPr>
    </w:p>
    <w:p w:rsidR="00976097" w:rsidRDefault="00976097" w:rsidP="00976097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bottomFromText="200" w:vertAnchor="text" w:tblpX="534" w:tblpY="1"/>
        <w:tblOverlap w:val="never"/>
        <w:tblW w:w="15510" w:type="dxa"/>
        <w:tblLayout w:type="fixed"/>
        <w:tblLook w:val="04A0" w:firstRow="1" w:lastRow="0" w:firstColumn="1" w:lastColumn="0" w:noHBand="0" w:noVBand="1"/>
      </w:tblPr>
      <w:tblGrid>
        <w:gridCol w:w="814"/>
        <w:gridCol w:w="708"/>
        <w:gridCol w:w="568"/>
        <w:gridCol w:w="851"/>
        <w:gridCol w:w="993"/>
        <w:gridCol w:w="850"/>
        <w:gridCol w:w="992"/>
        <w:gridCol w:w="567"/>
        <w:gridCol w:w="851"/>
        <w:gridCol w:w="709"/>
        <w:gridCol w:w="567"/>
        <w:gridCol w:w="567"/>
        <w:gridCol w:w="567"/>
        <w:gridCol w:w="567"/>
        <w:gridCol w:w="567"/>
        <w:gridCol w:w="567"/>
        <w:gridCol w:w="708"/>
        <w:gridCol w:w="851"/>
        <w:gridCol w:w="709"/>
        <w:gridCol w:w="567"/>
        <w:gridCol w:w="708"/>
        <w:gridCol w:w="662"/>
      </w:tblGrid>
      <w:tr w:rsidR="00976097" w:rsidTr="000F23E3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участников в т. ч.% от общего числа допущенных к ЕГЭ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Средний балл по ОУ/по 100б шкале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Свыше 70 баллов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Самый высокий результат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не сдавших в %</w:t>
            </w:r>
          </w:p>
        </w:tc>
      </w:tr>
      <w:tr w:rsidR="00976097" w:rsidTr="000F23E3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tabs>
                <w:tab w:val="right" w:pos="2336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Рус-ский язык</w:t>
            </w:r>
            <w:r>
              <w:rPr>
                <w:b/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Балыбердина Ю.В.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Тюрикова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Балыбердина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91-Мингалёва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 – Соколовский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76- Печенев М.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Олейникова 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tabs>
                <w:tab w:val="right" w:pos="2336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Лите-ратура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Балыбердина Ю.В.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Балыбердина Ю.В.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 Полиповичус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Белоусова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Матема</w:t>
            </w:r>
          </w:p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тика базовый уровень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Кириллова Н.Д.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Кореневская С.А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7/63.6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«5»-Мингалёва Анастасия, Лавринович Яна,Саутин Александр, Шархун Макс</w:t>
            </w:r>
            <w:r>
              <w:rPr>
                <w:sz w:val="20"/>
                <w:szCs w:val="20"/>
                <w:lang w:eastAsia="en-US"/>
              </w:rPr>
              <w:lastRenderedPageBreak/>
              <w:t>им, Ячник Андрей, Джафаров Олег, Закревская Диана.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«5»/20б – Соколовский Иван,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Райченко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«5»/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19б – Олейникова Ю.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Белоусова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Матема</w:t>
            </w:r>
          </w:p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тика профильный уровень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Кириллова Н.Д.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Кореневская С.А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7/53.8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4/36.3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70- Саутин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70- Соколовский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56-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Заблотский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Общество</w:t>
            </w:r>
          </w:p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Джафаро</w:t>
            </w:r>
          </w:p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 Е.А.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Якушевич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6/4</w:t>
            </w:r>
            <w:r w:rsidR="00AC3D88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C3D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5/45.4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  <w:r w:rsidR="00AC3D8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55-Зайцева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73- Кириллова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96 -Олейникова Ю.</w:t>
            </w:r>
          </w:p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82 -Белоусова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8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C3D88">
              <w:rPr>
                <w:sz w:val="20"/>
                <w:szCs w:val="20"/>
                <w:lang w:eastAsia="en-US"/>
              </w:rPr>
              <w:t>/</w:t>
            </w:r>
          </w:p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Физика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Закрев</w:t>
            </w:r>
          </w:p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ская В.А.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Кореневская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4/36.3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56-Саутин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53-Пырин 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AC3D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23E3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Соколовская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144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65- Джафаров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72- Соколовский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53- Печенев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144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E3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6097" w:rsidTr="000F23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Исто</w:t>
            </w: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 xml:space="preserve">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Джа</w:t>
            </w:r>
            <w:r>
              <w:rPr>
                <w:sz w:val="20"/>
                <w:szCs w:val="20"/>
                <w:lang w:eastAsia="en-US"/>
              </w:rPr>
              <w:lastRenderedPageBreak/>
              <w:t>фаро</w:t>
            </w:r>
          </w:p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 Е.А.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Якуше</w:t>
            </w:r>
            <w:r>
              <w:rPr>
                <w:sz w:val="20"/>
                <w:szCs w:val="20"/>
                <w:lang w:eastAsia="en-US"/>
              </w:rPr>
              <w:lastRenderedPageBreak/>
              <w:t>вич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0F23E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49- </w:t>
            </w:r>
            <w:r>
              <w:rPr>
                <w:sz w:val="20"/>
                <w:szCs w:val="20"/>
                <w:lang w:eastAsia="en-US"/>
              </w:rPr>
              <w:lastRenderedPageBreak/>
              <w:t>Зайцева Алёна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93- </w:t>
            </w:r>
            <w:r>
              <w:rPr>
                <w:sz w:val="20"/>
                <w:szCs w:val="20"/>
                <w:lang w:eastAsia="en-US"/>
              </w:rPr>
              <w:lastRenderedPageBreak/>
              <w:t>Олейникова 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7" w:rsidRDefault="009760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97" w:rsidRDefault="000F23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51934" w:rsidTr="009417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Соколовская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65-</w:t>
            </w:r>
          </w:p>
          <w:p w:rsidR="00C51934" w:rsidRDefault="00C5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Джафаров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62- Соколовский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46- Печенев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4" w:rsidRDefault="00C519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F1162" w:rsidTr="0094175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Сурков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62" w:rsidRDefault="00AF11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814DB4" w:rsidRDefault="00976097" w:rsidP="00814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814DB4" w:rsidRPr="00071F2D" w:rsidRDefault="00814DB4" w:rsidP="00814DB4">
      <w:pPr>
        <w:jc w:val="both"/>
        <w:rPr>
          <w:b/>
          <w:sz w:val="20"/>
          <w:szCs w:val="20"/>
        </w:rPr>
      </w:pPr>
    </w:p>
    <w:p w:rsidR="00814DB4" w:rsidRDefault="00814DB4" w:rsidP="00814DB4">
      <w:pPr>
        <w:jc w:val="both"/>
        <w:rPr>
          <w:b/>
        </w:rPr>
      </w:pPr>
    </w:p>
    <w:p w:rsidR="00814DB4" w:rsidRPr="004F3535" w:rsidRDefault="00814DB4" w:rsidP="00CA08E7">
      <w:pPr>
        <w:ind w:firstLine="540"/>
        <w:jc w:val="center"/>
        <w:rPr>
          <w:b/>
        </w:rPr>
      </w:pPr>
      <w:r w:rsidRPr="004F3535">
        <w:rPr>
          <w:b/>
        </w:rPr>
        <w:t>Показатели  качества итоговой аттестации выпускников средней ступени:</w:t>
      </w:r>
    </w:p>
    <w:p w:rsidR="00814DB4" w:rsidRPr="004F3535" w:rsidRDefault="00814DB4" w:rsidP="00CA08E7">
      <w:pPr>
        <w:ind w:firstLine="540"/>
        <w:jc w:val="center"/>
      </w:pPr>
    </w:p>
    <w:p w:rsidR="00814DB4" w:rsidRPr="004F3535" w:rsidRDefault="00814DB4" w:rsidP="00814DB4">
      <w:pPr>
        <w:ind w:firstLine="540"/>
        <w:jc w:val="both"/>
      </w:pPr>
    </w:p>
    <w:tbl>
      <w:tblPr>
        <w:tblW w:w="15523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850"/>
        <w:gridCol w:w="851"/>
        <w:gridCol w:w="850"/>
        <w:gridCol w:w="709"/>
        <w:gridCol w:w="850"/>
        <w:gridCol w:w="993"/>
        <w:gridCol w:w="992"/>
        <w:gridCol w:w="850"/>
        <w:gridCol w:w="993"/>
        <w:gridCol w:w="992"/>
        <w:gridCol w:w="992"/>
        <w:gridCol w:w="992"/>
        <w:gridCol w:w="851"/>
        <w:gridCol w:w="567"/>
        <w:gridCol w:w="850"/>
        <w:gridCol w:w="993"/>
      </w:tblGrid>
      <w:tr w:rsidR="0001443E" w:rsidRPr="00D21DB1" w:rsidTr="0001443E">
        <w:trPr>
          <w:trHeight w:val="807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ind w:left="278" w:hanging="278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842" w:type="dxa"/>
            <w:gridSpan w:val="2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  <w:vAlign w:val="center"/>
          </w:tcPr>
          <w:p w:rsidR="0001443E" w:rsidRPr="00FD3380" w:rsidRDefault="0001443E" w:rsidP="00D21DB1">
            <w:pPr>
              <w:tabs>
                <w:tab w:val="center" w:pos="1049"/>
                <w:tab w:val="right" w:pos="209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vAlign w:val="center"/>
          </w:tcPr>
          <w:p w:rsidR="0001443E" w:rsidRPr="00FD3380" w:rsidRDefault="0001443E" w:rsidP="00D21DB1">
            <w:pPr>
              <w:tabs>
                <w:tab w:val="center" w:pos="1049"/>
                <w:tab w:val="right" w:pos="209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338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</w:tcPr>
          <w:p w:rsidR="0001443E" w:rsidRDefault="0001443E" w:rsidP="00D21DB1">
            <w:pPr>
              <w:tabs>
                <w:tab w:val="center" w:pos="1049"/>
                <w:tab w:val="right" w:pos="209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443E" w:rsidRPr="00FD3380" w:rsidRDefault="0001443E" w:rsidP="00FD3380">
            <w:pPr>
              <w:tabs>
                <w:tab w:val="center" w:pos="1049"/>
                <w:tab w:val="right" w:pos="2099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2018</w:t>
            </w:r>
          </w:p>
        </w:tc>
        <w:tc>
          <w:tcPr>
            <w:tcW w:w="1843" w:type="dxa"/>
            <w:gridSpan w:val="2"/>
          </w:tcPr>
          <w:p w:rsidR="0001443E" w:rsidRDefault="0001443E" w:rsidP="00D21DB1">
            <w:pPr>
              <w:tabs>
                <w:tab w:val="center" w:pos="1049"/>
                <w:tab w:val="right" w:pos="209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01443E" w:rsidRPr="00D21DB1" w:rsidTr="0001443E">
        <w:trPr>
          <w:trHeight w:val="158"/>
        </w:trPr>
        <w:tc>
          <w:tcPr>
            <w:tcW w:w="1348" w:type="dxa"/>
            <w:vMerge/>
            <w:shd w:val="clear" w:color="auto" w:fill="auto"/>
          </w:tcPr>
          <w:p w:rsidR="0001443E" w:rsidRPr="00FD3380" w:rsidRDefault="0001443E" w:rsidP="000200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21DB1">
            <w:pPr>
              <w:tabs>
                <w:tab w:val="left" w:pos="765"/>
                <w:tab w:val="center" w:pos="1049"/>
                <w:tab w:val="right" w:pos="209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01443E" w:rsidRPr="00FD3380" w:rsidRDefault="0001443E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1443E" w:rsidRPr="00D21DB1" w:rsidTr="0001443E">
        <w:trPr>
          <w:trHeight w:val="473"/>
        </w:trPr>
        <w:tc>
          <w:tcPr>
            <w:tcW w:w="1348" w:type="dxa"/>
            <w:shd w:val="clear" w:color="auto" w:fill="auto"/>
          </w:tcPr>
          <w:p w:rsidR="0001443E" w:rsidRPr="00FD3380" w:rsidRDefault="0001443E" w:rsidP="000200B2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D3380">
              <w:rPr>
                <w:b/>
                <w:i/>
                <w:sz w:val="20"/>
                <w:szCs w:val="20"/>
              </w:rPr>
              <w:t xml:space="preserve"> % закончивших   на «4» и 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ind w:firstLine="41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29.7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ind w:firstLine="41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32.4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3380">
              <w:rPr>
                <w:sz w:val="20"/>
                <w:szCs w:val="20"/>
              </w:rPr>
              <w:t>35.7</w:t>
            </w:r>
          </w:p>
        </w:tc>
        <w:tc>
          <w:tcPr>
            <w:tcW w:w="851" w:type="dxa"/>
          </w:tcPr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443E" w:rsidRPr="00FD3380" w:rsidRDefault="0001443E" w:rsidP="000144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567" w:type="dxa"/>
          </w:tcPr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443E" w:rsidRPr="00FD3380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850" w:type="dxa"/>
          </w:tcPr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1443E" w:rsidRDefault="0001443E" w:rsidP="00DF16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</w:t>
            </w:r>
          </w:p>
        </w:tc>
      </w:tr>
    </w:tbl>
    <w:p w:rsidR="00814DB4" w:rsidRDefault="00814DB4" w:rsidP="00814DB4"/>
    <w:p w:rsidR="00814DB4" w:rsidRPr="004F3535" w:rsidRDefault="00814DB4" w:rsidP="00D21DB1">
      <w:pPr>
        <w:ind w:firstLine="708"/>
        <w:jc w:val="both"/>
        <w:rPr>
          <w:b/>
        </w:rPr>
      </w:pPr>
      <w:r w:rsidRPr="004F3535">
        <w:rPr>
          <w:b/>
        </w:rPr>
        <w:t xml:space="preserve">Динамику результатов </w:t>
      </w:r>
      <w:r w:rsidRPr="004F3535">
        <w:rPr>
          <w:b/>
          <w:color w:val="C00000"/>
        </w:rPr>
        <w:t xml:space="preserve"> </w:t>
      </w:r>
      <w:r w:rsidRPr="004F3535">
        <w:rPr>
          <w:b/>
        </w:rPr>
        <w:t>государственной итоговой аттестации выпускников 11 классов можно представить таким образом:</w:t>
      </w:r>
    </w:p>
    <w:p w:rsidR="00814DB4" w:rsidRPr="000F687A" w:rsidRDefault="00814DB4" w:rsidP="00814DB4">
      <w:pPr>
        <w:rPr>
          <w:b/>
        </w:rPr>
      </w:pPr>
    </w:p>
    <w:tbl>
      <w:tblPr>
        <w:tblW w:w="142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402"/>
        <w:gridCol w:w="1532"/>
        <w:gridCol w:w="1529"/>
        <w:gridCol w:w="1664"/>
        <w:gridCol w:w="1664"/>
        <w:gridCol w:w="1664"/>
        <w:gridCol w:w="1529"/>
        <w:gridCol w:w="1529"/>
      </w:tblGrid>
      <w:tr w:rsidR="004F3535" w:rsidRPr="000F687A" w:rsidTr="004F3535">
        <w:tc>
          <w:tcPr>
            <w:tcW w:w="169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2011-2012 учебный год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2012-2013   учебный год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2013-2014 учебный год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2014-2015 учебный год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2016-2017 учебный год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Pr="00DF1692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Pr="00DF1692">
              <w:rPr>
                <w:b/>
                <w:sz w:val="20"/>
                <w:szCs w:val="20"/>
              </w:rPr>
              <w:t xml:space="preserve"> учебный год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Количество 11 классов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Количество выпускников 11-х классов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22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13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14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23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lastRenderedPageBreak/>
              <w:t>Количество и % допущенных к ИА от общего количества обучающихся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16/100%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21уч. /95.4%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13/100%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14/100%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23/100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14/100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13/100</w:t>
            </w: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11/100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Количество и % недопущенных к ИА от общего количества обучающихся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1уч. /4.5%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Pr="00DF1692" w:rsidRDefault="004F3535" w:rsidP="00DF1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Количество и % от общего количества выпускников, не получивших минимальное количество баллов по ЕГЭ</w:t>
            </w:r>
          </w:p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- русский язык</w:t>
            </w:r>
          </w:p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- математика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2уч/12.5%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1уч./4.5%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F3535" w:rsidRPr="00DF1692" w:rsidRDefault="004F3535" w:rsidP="00DF1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русский язык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tabs>
                <w:tab w:val="left" w:pos="480"/>
                <w:tab w:val="center" w:pos="98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56.4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67.5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56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68.2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62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65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4F3535" w:rsidRPr="00DF1692" w:rsidRDefault="004F3535" w:rsidP="00DF16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tabs>
                <w:tab w:val="left" w:pos="1076"/>
              </w:tabs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 литература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tabs>
                <w:tab w:val="left" w:pos="480"/>
                <w:tab w:val="center" w:pos="98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63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математика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36.2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38.6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37.5 (пр.)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43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58(пр.)</w:t>
            </w:r>
          </w:p>
        </w:tc>
        <w:tc>
          <w:tcPr>
            <w:tcW w:w="1529" w:type="dxa"/>
          </w:tcPr>
          <w:p w:rsidR="004F3535" w:rsidRDefault="004F3535" w:rsidP="00D72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45(пр.)</w:t>
            </w:r>
          </w:p>
          <w:p w:rsidR="004F3535" w:rsidRPr="00DF1692" w:rsidRDefault="004F3535" w:rsidP="00DF16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4F3535" w:rsidRDefault="004F3535" w:rsidP="00D72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4(б)</w:t>
            </w:r>
          </w:p>
          <w:p w:rsidR="004F3535" w:rsidRDefault="004F3535" w:rsidP="00D72C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43.2(пр)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биология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56.1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43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51.2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45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64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химия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68.5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59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0200B2">
              <w:rPr>
                <w:b/>
                <w:sz w:val="20"/>
                <w:szCs w:val="20"/>
              </w:rPr>
              <w:t xml:space="preserve">Средний балл: </w:t>
            </w:r>
            <w:r w:rsidRPr="00DF169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48.4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51.3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40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47.8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41,8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54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47.2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обществознание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63.2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56.3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51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61.7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42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48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65.4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история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77.6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43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56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48,5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42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F3535" w:rsidRPr="000F687A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spacing w:line="276" w:lineRule="auto"/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t>Средний балл: география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69.1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Default="004F3535" w:rsidP="00D21D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535" w:rsidRPr="00FE6663" w:rsidTr="004F3535">
        <w:tc>
          <w:tcPr>
            <w:tcW w:w="1699" w:type="dxa"/>
            <w:shd w:val="clear" w:color="auto" w:fill="auto"/>
          </w:tcPr>
          <w:p w:rsidR="004F3535" w:rsidRPr="00DF1692" w:rsidRDefault="004F3535" w:rsidP="000200B2">
            <w:pPr>
              <w:rPr>
                <w:b/>
                <w:sz w:val="20"/>
                <w:szCs w:val="20"/>
              </w:rPr>
            </w:pPr>
            <w:r w:rsidRPr="00DF1692">
              <w:rPr>
                <w:b/>
                <w:sz w:val="20"/>
                <w:szCs w:val="20"/>
              </w:rPr>
              <w:lastRenderedPageBreak/>
              <w:t>Средний балл: информатика и ИКТ.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F3535" w:rsidRPr="00DF1692" w:rsidRDefault="004F3535" w:rsidP="00D21D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4F3535" w:rsidRPr="00DF1692" w:rsidRDefault="004F3535" w:rsidP="00D21DB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F3535" w:rsidRPr="00DF1692" w:rsidRDefault="004F3535" w:rsidP="00D21DB1">
            <w:pPr>
              <w:jc w:val="center"/>
              <w:rPr>
                <w:color w:val="C00000"/>
                <w:sz w:val="20"/>
                <w:szCs w:val="20"/>
              </w:rPr>
            </w:pPr>
            <w:r w:rsidRPr="00DF1692"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34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664" w:type="dxa"/>
            <w:vAlign w:val="center"/>
          </w:tcPr>
          <w:p w:rsidR="004F3535" w:rsidRPr="00DF1692" w:rsidRDefault="004F3535" w:rsidP="00D21DB1">
            <w:pPr>
              <w:jc w:val="center"/>
              <w:rPr>
                <w:sz w:val="20"/>
                <w:szCs w:val="20"/>
              </w:rPr>
            </w:pPr>
            <w:r w:rsidRPr="00DF1692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Pr="00DF1692" w:rsidRDefault="004F3535" w:rsidP="00D2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4F3535" w:rsidRDefault="004F3535" w:rsidP="00D2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4F3535" w:rsidRDefault="004F3535" w:rsidP="00D21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B43" w:rsidRDefault="00D50B43" w:rsidP="00814DB4"/>
    <w:p w:rsidR="00D50B43" w:rsidRPr="006E65F3" w:rsidRDefault="00D50B43" w:rsidP="00814DB4"/>
    <w:p w:rsidR="00814DB4" w:rsidRPr="000200B2" w:rsidRDefault="00814DB4" w:rsidP="00D50B43">
      <w:pPr>
        <w:numPr>
          <w:ilvl w:val="0"/>
          <w:numId w:val="1"/>
        </w:numPr>
        <w:ind w:left="426" w:firstLine="425"/>
        <w:rPr>
          <w:b/>
        </w:rPr>
      </w:pPr>
      <w:r w:rsidRPr="000200B2">
        <w:rPr>
          <w:b/>
        </w:rPr>
        <w:t>Русский язык</w:t>
      </w:r>
      <w:r w:rsidR="009D7206" w:rsidRPr="000200B2">
        <w:rPr>
          <w:b/>
        </w:rPr>
        <w:t xml:space="preserve"> </w:t>
      </w:r>
      <w:r w:rsidR="009D7206" w:rsidRPr="000200B2">
        <w:t>(диаграмма 1).</w:t>
      </w:r>
    </w:p>
    <w:p w:rsidR="00814DB4" w:rsidRPr="000200B2" w:rsidRDefault="00814DB4" w:rsidP="00D50B43">
      <w:pPr>
        <w:ind w:left="426" w:firstLine="425"/>
      </w:pPr>
    </w:p>
    <w:p w:rsidR="00814DB4" w:rsidRPr="000200B2" w:rsidRDefault="000548E6" w:rsidP="00D50B43">
      <w:pPr>
        <w:ind w:left="426" w:firstLine="425"/>
        <w:jc w:val="both"/>
      </w:pPr>
      <w:r w:rsidRPr="000200B2">
        <w:t>Работу выполняли   1</w:t>
      </w:r>
      <w:r w:rsidR="00AE3CA5">
        <w:t>1</w:t>
      </w:r>
      <w:r w:rsidR="00814DB4" w:rsidRPr="000200B2">
        <w:t xml:space="preserve">  учащихся. Все выпускники с работой  с</w:t>
      </w:r>
      <w:r w:rsidRPr="000200B2">
        <w:t>правились. Средний балл равен 6</w:t>
      </w:r>
      <w:r w:rsidR="00AE3CA5">
        <w:t>1</w:t>
      </w:r>
      <w:r w:rsidR="007C73DB">
        <w:t>,</w:t>
      </w:r>
      <w:r w:rsidR="001F5F2D" w:rsidRPr="000200B2">
        <w:t xml:space="preserve"> </w:t>
      </w:r>
      <w:r w:rsidR="00814DB4" w:rsidRPr="000200B2">
        <w:t xml:space="preserve">в </w:t>
      </w:r>
      <w:r w:rsidR="007C73DB">
        <w:t>2018</w:t>
      </w:r>
      <w:r w:rsidR="00814DB4" w:rsidRPr="000200B2">
        <w:t xml:space="preserve"> году</w:t>
      </w:r>
      <w:r w:rsidR="001F5F2D" w:rsidRPr="000200B2">
        <w:t xml:space="preserve"> </w:t>
      </w:r>
      <w:r w:rsidR="007C73DB">
        <w:t>–</w:t>
      </w:r>
      <w:r w:rsidR="001F5F2D" w:rsidRPr="000200B2">
        <w:t xml:space="preserve"> </w:t>
      </w:r>
      <w:r w:rsidRPr="000200B2">
        <w:t>6</w:t>
      </w:r>
      <w:r w:rsidR="00AE3CA5">
        <w:t>3</w:t>
      </w:r>
      <w:r w:rsidR="007C73DB">
        <w:t>.</w:t>
      </w:r>
    </w:p>
    <w:p w:rsidR="00814DB4" w:rsidRPr="000200B2" w:rsidRDefault="00814DB4" w:rsidP="00D50B43">
      <w:pPr>
        <w:ind w:left="426" w:firstLine="425"/>
        <w:jc w:val="both"/>
        <w:rPr>
          <w:b/>
        </w:rPr>
      </w:pPr>
      <w:r w:rsidRPr="000200B2">
        <w:t>Проходной балл - 24 (Установлен Рособ</w:t>
      </w:r>
      <w:r w:rsidR="000548E6" w:rsidRPr="000200B2">
        <w:t xml:space="preserve">рнадзором). Более 70б. набрали </w:t>
      </w:r>
      <w:r w:rsidR="00AE3CA5">
        <w:t>3</w:t>
      </w:r>
      <w:r w:rsidR="000548E6" w:rsidRPr="000200B2">
        <w:t xml:space="preserve"> выпускника</w:t>
      </w:r>
      <w:r w:rsidRPr="000200B2">
        <w:t xml:space="preserve">: </w:t>
      </w:r>
      <w:r w:rsidR="00AE3CA5">
        <w:t>Печенев М</w:t>
      </w:r>
      <w:r w:rsidR="007C73DB">
        <w:t xml:space="preserve">., Белоусова Е., Олейникова Ю. </w:t>
      </w:r>
      <w:r w:rsidR="000548E6" w:rsidRPr="000200B2">
        <w:t xml:space="preserve"> </w:t>
      </w:r>
      <w:r w:rsidR="001F5F2D" w:rsidRPr="000200B2">
        <w:t>Из расчета 36 баллов (</w:t>
      </w:r>
      <w:r w:rsidRPr="000200B2">
        <w:t xml:space="preserve">необходимый минимум для поступления в ВУЗы)  по русскому языку набрали </w:t>
      </w:r>
      <w:r w:rsidR="000548E6" w:rsidRPr="000200B2">
        <w:t xml:space="preserve">необходимое количество баллов </w:t>
      </w:r>
      <w:r w:rsidR="009F4DB5">
        <w:t>6</w:t>
      </w:r>
      <w:r w:rsidR="000548E6" w:rsidRPr="000200B2">
        <w:t xml:space="preserve"> человек (69.2</w:t>
      </w:r>
      <w:r w:rsidRPr="000200B2">
        <w:t xml:space="preserve">% от общего количества участников ЕГЭ по русскому языку). </w:t>
      </w:r>
    </w:p>
    <w:p w:rsidR="00814DB4" w:rsidRPr="000200B2" w:rsidRDefault="00814DB4" w:rsidP="00D50B43">
      <w:pPr>
        <w:ind w:left="426" w:firstLine="425"/>
        <w:jc w:val="both"/>
        <w:rPr>
          <w:b/>
        </w:rPr>
      </w:pPr>
      <w:r w:rsidRPr="000200B2">
        <w:rPr>
          <w:b/>
        </w:rPr>
        <w:t xml:space="preserve">Средний балл по 100б. шкале      </w:t>
      </w:r>
    </w:p>
    <w:p w:rsidR="005F2FCB" w:rsidRPr="000200B2" w:rsidRDefault="00D50B43" w:rsidP="00D50B43">
      <w:pPr>
        <w:tabs>
          <w:tab w:val="left" w:pos="10778"/>
        </w:tabs>
        <w:ind w:left="426" w:firstLine="425"/>
        <w:jc w:val="both"/>
        <w:rPr>
          <w:noProof/>
        </w:rPr>
      </w:pPr>
      <w:r w:rsidRPr="000200B2">
        <w:rPr>
          <w:noProof/>
        </w:rPr>
        <w:drawing>
          <wp:anchor distT="0" distB="0" distL="114300" distR="114300" simplePos="0" relativeHeight="251661312" behindDoc="0" locked="0" layoutInCell="1" allowOverlap="1" wp14:anchorId="08F11A72" wp14:editId="249047DB">
            <wp:simplePos x="0" y="0"/>
            <wp:positionH relativeFrom="column">
              <wp:posOffset>2596515</wp:posOffset>
            </wp:positionH>
            <wp:positionV relativeFrom="paragraph">
              <wp:posOffset>586740</wp:posOffset>
            </wp:positionV>
            <wp:extent cx="4848225" cy="2714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B4" w:rsidRPr="000200B2">
        <w:rPr>
          <w:b/>
        </w:rPr>
        <w:t xml:space="preserve"> </w:t>
      </w:r>
      <w:r w:rsidR="00814DB4" w:rsidRPr="000200B2">
        <w:t xml:space="preserve">Таким образом,  наблюдается сохранение  среднего балла по предмету. 100% успеваемость. Учитель, подготовивший к ГИА – Балыбердина Ю.В. </w:t>
      </w:r>
      <w:r w:rsidR="009D7206" w:rsidRPr="000200B2">
        <w:rPr>
          <w:color w:val="000000"/>
        </w:rPr>
        <w:t>(</w:t>
      </w:r>
      <w:r w:rsidR="00E2151E">
        <w:rPr>
          <w:color w:val="000000"/>
        </w:rPr>
        <w:t>1 к.к.</w:t>
      </w:r>
      <w:r w:rsidR="009D7206" w:rsidRPr="000200B2">
        <w:rPr>
          <w:color w:val="000000"/>
        </w:rPr>
        <w:t>)</w:t>
      </w:r>
    </w:p>
    <w:p w:rsidR="009D7206" w:rsidRPr="00D50B43" w:rsidRDefault="00D50B43" w:rsidP="003641B1">
      <w:pPr>
        <w:tabs>
          <w:tab w:val="left" w:pos="10778"/>
        </w:tabs>
        <w:jc w:val="center"/>
        <w:rPr>
          <w:b/>
          <w:i/>
          <w:noProof/>
          <w:sz w:val="28"/>
          <w:szCs w:val="28"/>
        </w:rPr>
      </w:pPr>
      <w:r w:rsidRPr="00D50B43">
        <w:rPr>
          <w:b/>
          <w:i/>
          <w:noProof/>
          <w:sz w:val="28"/>
          <w:szCs w:val="28"/>
        </w:rPr>
        <w:t xml:space="preserve">             Д</w:t>
      </w:r>
      <w:r w:rsidR="008144A8" w:rsidRPr="00D50B43">
        <w:rPr>
          <w:b/>
          <w:i/>
          <w:noProof/>
          <w:sz w:val="28"/>
          <w:szCs w:val="28"/>
        </w:rPr>
        <w:t>иаграмма</w:t>
      </w:r>
      <w:r w:rsidRPr="00D50B43">
        <w:rPr>
          <w:b/>
          <w:i/>
          <w:noProof/>
          <w:sz w:val="28"/>
          <w:szCs w:val="28"/>
        </w:rPr>
        <w:t xml:space="preserve"> </w:t>
      </w:r>
      <w:r w:rsidR="008144A8" w:rsidRPr="00D50B43">
        <w:rPr>
          <w:b/>
          <w:i/>
          <w:noProof/>
          <w:sz w:val="28"/>
          <w:szCs w:val="28"/>
        </w:rPr>
        <w:t>1</w:t>
      </w:r>
      <w:r w:rsidR="008144A8" w:rsidRPr="00D50B43">
        <w:rPr>
          <w:b/>
          <w:i/>
          <w:noProof/>
          <w:sz w:val="28"/>
          <w:szCs w:val="28"/>
        </w:rPr>
        <w:br w:type="textWrapping" w:clear="all"/>
      </w:r>
    </w:p>
    <w:p w:rsidR="00814DB4" w:rsidRPr="00D50B43" w:rsidRDefault="00814DB4" w:rsidP="0073320C">
      <w:pPr>
        <w:tabs>
          <w:tab w:val="left" w:pos="10778"/>
        </w:tabs>
        <w:jc w:val="both"/>
        <w:rPr>
          <w:sz w:val="28"/>
          <w:szCs w:val="28"/>
        </w:rPr>
      </w:pPr>
    </w:p>
    <w:p w:rsidR="00814DB4" w:rsidRPr="000200B2" w:rsidRDefault="00814DB4" w:rsidP="00814DB4">
      <w:pPr>
        <w:numPr>
          <w:ilvl w:val="0"/>
          <w:numId w:val="1"/>
        </w:numPr>
        <w:rPr>
          <w:b/>
        </w:rPr>
      </w:pPr>
      <w:r w:rsidRPr="000200B2">
        <w:rPr>
          <w:b/>
        </w:rPr>
        <w:t>Математика</w:t>
      </w:r>
      <w:r w:rsidR="00C936BF" w:rsidRPr="000200B2">
        <w:rPr>
          <w:b/>
        </w:rPr>
        <w:t xml:space="preserve"> </w:t>
      </w:r>
      <w:r w:rsidR="009D7206" w:rsidRPr="000200B2">
        <w:t>(диаграмма  2).</w:t>
      </w:r>
    </w:p>
    <w:p w:rsidR="00814DB4" w:rsidRPr="000200B2" w:rsidRDefault="00814DB4" w:rsidP="00814DB4">
      <w:pPr>
        <w:ind w:left="360"/>
      </w:pPr>
    </w:p>
    <w:p w:rsidR="00814DB4" w:rsidRPr="000200B2" w:rsidRDefault="00814DB4" w:rsidP="00D50B43">
      <w:pPr>
        <w:ind w:left="360" w:firstLine="348"/>
        <w:jc w:val="both"/>
      </w:pPr>
      <w:r w:rsidRPr="000200B2">
        <w:t xml:space="preserve"> </w:t>
      </w:r>
      <w:r w:rsidRPr="000200B2">
        <w:rPr>
          <w:rStyle w:val="a4"/>
        </w:rPr>
        <w:t>Математика</w:t>
      </w:r>
      <w:r w:rsidRPr="000200B2">
        <w:t xml:space="preserve"> – один из двух обязательных предметов, который выпускники школ должны сдать для получения аттестата. Профильный ЕГЭ необходимо сдать для поступления в вузы на специальности, где математика является одним из вступительных экзаменов. Установленный минимальный балл по математике профильного уровня составляет 27 баллов. С 2015 года, в соответствии с Концепцией развития математического </w:t>
      </w:r>
      <w:r w:rsidRPr="000200B2">
        <w:lastRenderedPageBreak/>
        <w:t>образования в Российской Федерации и по предложению Ассоциации учителей и преподавателей математики, ЕГЭ по математике был разделен на базовый и профильный уровни. </w:t>
      </w:r>
      <w:r w:rsidR="003E75F8">
        <w:t>В 2019 году нужно было выбрать один уровень для сдачи экзамена: базовый или профильный.</w:t>
      </w:r>
    </w:p>
    <w:p w:rsidR="00814DB4" w:rsidRPr="000200B2" w:rsidRDefault="00814DB4" w:rsidP="00D50B43">
      <w:pPr>
        <w:jc w:val="both"/>
        <w:rPr>
          <w:b/>
          <w:color w:val="FF0000"/>
        </w:rPr>
      </w:pPr>
    </w:p>
    <w:p w:rsidR="00814DB4" w:rsidRPr="000200B2" w:rsidRDefault="00D50B43" w:rsidP="00D50B43">
      <w:pPr>
        <w:ind w:left="426" w:firstLine="360"/>
        <w:jc w:val="both"/>
      </w:pPr>
      <w:r w:rsidRPr="000200B2">
        <w:t xml:space="preserve"> </w:t>
      </w:r>
      <w:r w:rsidR="00814DB4" w:rsidRPr="000200B2">
        <w:t>Работу (</w:t>
      </w:r>
      <w:r w:rsidR="00814DB4" w:rsidRPr="000200B2">
        <w:rPr>
          <w:i/>
        </w:rPr>
        <w:t>базовый уровень)</w:t>
      </w:r>
      <w:r w:rsidR="002F6383" w:rsidRPr="000200B2">
        <w:t xml:space="preserve"> выполняли   </w:t>
      </w:r>
      <w:r w:rsidR="003E75F8">
        <w:t>7</w:t>
      </w:r>
      <w:r w:rsidR="00814DB4" w:rsidRPr="000200B2">
        <w:t xml:space="preserve"> учащихся. Выпускники с работой  справились. Средний балл равен 4.</w:t>
      </w:r>
    </w:p>
    <w:p w:rsidR="002403A9" w:rsidRPr="000200B2" w:rsidRDefault="002403A9" w:rsidP="00D50B43">
      <w:pPr>
        <w:ind w:left="426" w:firstLine="360"/>
        <w:jc w:val="both"/>
      </w:pPr>
      <w:r w:rsidRPr="000200B2">
        <w:t>Прослеживается высокое качество подготовки к экзамену базового уровня.</w:t>
      </w:r>
    </w:p>
    <w:p w:rsidR="002403A9" w:rsidRPr="000200B2" w:rsidRDefault="002403A9" w:rsidP="00D50B43">
      <w:pPr>
        <w:ind w:left="426" w:firstLine="360"/>
        <w:jc w:val="both"/>
      </w:pPr>
    </w:p>
    <w:p w:rsidR="002403A9" w:rsidRPr="000200B2" w:rsidRDefault="002403A9" w:rsidP="003E75F8">
      <w:pPr>
        <w:ind w:left="426" w:firstLine="360"/>
      </w:pPr>
      <w:r w:rsidRPr="000200B2">
        <w:rPr>
          <w:noProof/>
        </w:rPr>
        <w:drawing>
          <wp:inline distT="0" distB="0" distL="0" distR="0" wp14:anchorId="469372D5" wp14:editId="21A91D16">
            <wp:extent cx="3009900" cy="211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E75F8">
        <w:rPr>
          <w:noProof/>
        </w:rPr>
        <w:drawing>
          <wp:inline distT="0" distB="0" distL="0" distR="0" wp14:anchorId="7B2FFD7E" wp14:editId="7B1CD071">
            <wp:extent cx="3048000" cy="2219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03A9" w:rsidRPr="000200B2" w:rsidRDefault="002403A9" w:rsidP="00D50B43">
      <w:pPr>
        <w:ind w:left="426" w:firstLine="360"/>
        <w:jc w:val="both"/>
      </w:pPr>
    </w:p>
    <w:p w:rsidR="00814DB4" w:rsidRPr="000200B2" w:rsidRDefault="00814DB4" w:rsidP="00D50B43">
      <w:pPr>
        <w:ind w:left="426"/>
        <w:jc w:val="both"/>
      </w:pPr>
      <w:r w:rsidRPr="000200B2">
        <w:t xml:space="preserve">Результаты ЕГЭ по математике </w:t>
      </w:r>
      <w:r w:rsidRPr="000200B2">
        <w:rPr>
          <w:i/>
        </w:rPr>
        <w:t>(профиль.)</w:t>
      </w:r>
      <w:r w:rsidR="002F6383" w:rsidRPr="000200B2">
        <w:t xml:space="preserve"> Средний балл- 4</w:t>
      </w:r>
      <w:r w:rsidR="002356E3">
        <w:t>3</w:t>
      </w:r>
      <w:r w:rsidRPr="000200B2">
        <w:t xml:space="preserve"> при п</w:t>
      </w:r>
      <w:r w:rsidR="002F6383" w:rsidRPr="000200B2">
        <w:t xml:space="preserve">роходном -27. Работу выполняли </w:t>
      </w:r>
      <w:r w:rsidR="002356E3">
        <w:t>4</w:t>
      </w:r>
      <w:r w:rsidR="002F6383" w:rsidRPr="000200B2">
        <w:t xml:space="preserve"> человек</w:t>
      </w:r>
      <w:r w:rsidR="002356E3">
        <w:t>а</w:t>
      </w:r>
      <w:r w:rsidRPr="000200B2">
        <w:t>.</w:t>
      </w:r>
    </w:p>
    <w:p w:rsidR="00814DB4" w:rsidRPr="000200B2" w:rsidRDefault="00814DB4" w:rsidP="00D50B43">
      <w:pPr>
        <w:ind w:left="426"/>
        <w:jc w:val="both"/>
      </w:pPr>
      <w:r w:rsidRPr="000200B2">
        <w:t>Не справились с работой 0 участников ЕГЭ.</w:t>
      </w:r>
    </w:p>
    <w:p w:rsidR="009D7206" w:rsidRPr="000200B2" w:rsidRDefault="00814DB4" w:rsidP="00D50B43">
      <w:pPr>
        <w:ind w:left="426"/>
        <w:jc w:val="both"/>
      </w:pPr>
      <w:r w:rsidRPr="000200B2">
        <w:t>По итогам двух экзаменов</w:t>
      </w:r>
      <w:r w:rsidR="001F5F2D" w:rsidRPr="000200B2">
        <w:t xml:space="preserve"> </w:t>
      </w:r>
      <w:r w:rsidRPr="000200B2">
        <w:t>- 100% успеваемость.</w:t>
      </w:r>
    </w:p>
    <w:p w:rsidR="00814DB4" w:rsidRPr="000200B2" w:rsidRDefault="00814DB4" w:rsidP="00D50B43">
      <w:pPr>
        <w:ind w:left="426"/>
        <w:jc w:val="both"/>
      </w:pPr>
      <w:r w:rsidRPr="000200B2">
        <w:t>Учитель</w:t>
      </w:r>
      <w:r w:rsidR="001F5F2D" w:rsidRPr="000200B2">
        <w:t>,</w:t>
      </w:r>
      <w:r w:rsidRPr="000200B2">
        <w:t xml:space="preserve"> подготовивший к ИА – </w:t>
      </w:r>
      <w:r w:rsidR="00E2151E">
        <w:t>Кореневская С.А. 1 к.к.</w:t>
      </w:r>
    </w:p>
    <w:p w:rsidR="002403A9" w:rsidRPr="000200B2" w:rsidRDefault="002403A9" w:rsidP="00D50B43">
      <w:pPr>
        <w:ind w:left="426"/>
        <w:jc w:val="both"/>
      </w:pPr>
      <w:r w:rsidRPr="000200B2">
        <w:t>В сравнении с результатом 201</w:t>
      </w:r>
      <w:r w:rsidR="002356E3">
        <w:t>7</w:t>
      </w:r>
      <w:r w:rsidRPr="000200B2">
        <w:t>-1</w:t>
      </w:r>
      <w:r w:rsidR="002356E3">
        <w:t>8</w:t>
      </w:r>
      <w:r w:rsidR="00814DB4" w:rsidRPr="000200B2">
        <w:t xml:space="preserve"> уч. гг. прослеж</w:t>
      </w:r>
      <w:r w:rsidRPr="000200B2">
        <w:t xml:space="preserve">ивается незначительное снижение </w:t>
      </w:r>
      <w:r w:rsidR="00814DB4" w:rsidRPr="000200B2">
        <w:t>успеваемости</w:t>
      </w:r>
      <w:r w:rsidRPr="000200B2">
        <w:t>, в целом сохраняется стабильный положительный результат.</w:t>
      </w:r>
    </w:p>
    <w:p w:rsidR="0073320C" w:rsidRPr="000200B2" w:rsidRDefault="00814DB4" w:rsidP="00D50B43">
      <w:pPr>
        <w:ind w:left="426"/>
        <w:jc w:val="both"/>
      </w:pPr>
      <w:r w:rsidRPr="000200B2">
        <w:t xml:space="preserve"> </w:t>
      </w:r>
    </w:p>
    <w:p w:rsidR="0073320C" w:rsidRPr="000200B2" w:rsidRDefault="009D7206" w:rsidP="00814DB4">
      <w:r w:rsidRPr="000200B2">
        <w:rPr>
          <w:noProof/>
        </w:rPr>
        <w:drawing>
          <wp:anchor distT="0" distB="0" distL="114300" distR="114300" simplePos="0" relativeHeight="251662336" behindDoc="0" locked="0" layoutInCell="1" allowOverlap="1" wp14:anchorId="6FCDA84F" wp14:editId="3FBEDE4D">
            <wp:simplePos x="0" y="0"/>
            <wp:positionH relativeFrom="column">
              <wp:posOffset>2205990</wp:posOffset>
            </wp:positionH>
            <wp:positionV relativeFrom="paragraph">
              <wp:posOffset>17780</wp:posOffset>
            </wp:positionV>
            <wp:extent cx="4714875" cy="271462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6E8" w:rsidRPr="000200B2" w:rsidRDefault="00CD06E8" w:rsidP="00814DB4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CD06E8"/>
    <w:p w:rsidR="00CD06E8" w:rsidRPr="000200B2" w:rsidRDefault="00CD06E8" w:rsidP="00814DB4"/>
    <w:p w:rsidR="00CD06E8" w:rsidRPr="000200B2" w:rsidRDefault="00CD06E8" w:rsidP="00814DB4"/>
    <w:p w:rsidR="009D7206" w:rsidRPr="00CB3C7B" w:rsidRDefault="003641B1" w:rsidP="00CB3C7B">
      <w:pPr>
        <w:tabs>
          <w:tab w:val="left" w:pos="5100"/>
        </w:tabs>
        <w:jc w:val="center"/>
        <w:rPr>
          <w:b/>
          <w:i/>
          <w:noProof/>
        </w:rPr>
      </w:pPr>
      <w:r w:rsidRPr="000200B2">
        <w:rPr>
          <w:b/>
          <w:i/>
          <w:noProof/>
        </w:rPr>
        <w:t>Диаграмма 2</w:t>
      </w:r>
    </w:p>
    <w:p w:rsidR="000200B2" w:rsidRPr="000200B2" w:rsidRDefault="000200B2" w:rsidP="009D7206">
      <w:pPr>
        <w:tabs>
          <w:tab w:val="left" w:pos="5100"/>
        </w:tabs>
        <w:jc w:val="center"/>
      </w:pPr>
    </w:p>
    <w:p w:rsidR="008B30DF" w:rsidRPr="000200B2" w:rsidRDefault="008B30DF" w:rsidP="00D50B43">
      <w:pPr>
        <w:pStyle w:val="a3"/>
        <w:numPr>
          <w:ilvl w:val="0"/>
          <w:numId w:val="1"/>
        </w:numPr>
        <w:ind w:left="426" w:firstLine="425"/>
        <w:rPr>
          <w:b/>
        </w:rPr>
      </w:pPr>
      <w:r w:rsidRPr="000200B2">
        <w:rPr>
          <w:b/>
        </w:rPr>
        <w:t>История</w:t>
      </w:r>
      <w:r w:rsidR="009D7206" w:rsidRPr="000200B2">
        <w:rPr>
          <w:b/>
        </w:rPr>
        <w:t xml:space="preserve"> </w:t>
      </w:r>
      <w:r w:rsidR="009D7206" w:rsidRPr="000200B2">
        <w:t>(диаграмма 3)</w:t>
      </w:r>
      <w:r w:rsidRPr="000200B2">
        <w:rPr>
          <w:b/>
        </w:rPr>
        <w:t xml:space="preserve">.  </w:t>
      </w:r>
    </w:p>
    <w:p w:rsidR="009131BB" w:rsidRDefault="005145D9" w:rsidP="009131BB">
      <w:pPr>
        <w:pStyle w:val="a3"/>
        <w:ind w:left="851"/>
      </w:pPr>
      <w:r w:rsidRPr="000200B2">
        <w:t>В 2017-2018 году предмет не выбирался учащимися.</w:t>
      </w:r>
    </w:p>
    <w:p w:rsidR="00CE6AE4" w:rsidRPr="000200B2" w:rsidRDefault="00CE6AE4" w:rsidP="009131BB">
      <w:pPr>
        <w:pStyle w:val="a3"/>
        <w:ind w:left="851"/>
      </w:pPr>
    </w:p>
    <w:p w:rsidR="00E2151E" w:rsidRPr="000200B2" w:rsidRDefault="00E2151E" w:rsidP="00E2151E">
      <w:pPr>
        <w:ind w:left="426" w:firstLine="425"/>
      </w:pPr>
      <w:r w:rsidRPr="000200B2">
        <w:t xml:space="preserve">По результатам ЕГЭ по </w:t>
      </w:r>
      <w:r>
        <w:t>истории</w:t>
      </w:r>
      <w:r w:rsidRPr="000200B2">
        <w:t xml:space="preserve"> прослеживается увеличение среднего балла</w:t>
      </w:r>
      <w:r>
        <w:t>. Предмет выбирают незначительное количество выпускников.</w:t>
      </w:r>
      <w:r w:rsidRPr="000200B2">
        <w:t xml:space="preserve"> Экзамен сдавал</w:t>
      </w:r>
      <w:r>
        <w:t>а</w:t>
      </w:r>
      <w:r w:rsidRPr="000200B2">
        <w:t xml:space="preserve"> </w:t>
      </w:r>
      <w:r>
        <w:t xml:space="preserve">1 </w:t>
      </w:r>
      <w:r w:rsidRPr="000200B2">
        <w:t>учащ</w:t>
      </w:r>
      <w:r>
        <w:t>аяся</w:t>
      </w:r>
      <w:r w:rsidRPr="000200B2">
        <w:t xml:space="preserve">. </w:t>
      </w:r>
    </w:p>
    <w:p w:rsidR="00E2151E" w:rsidRPr="000200B2" w:rsidRDefault="00E2151E" w:rsidP="00E2151E">
      <w:pPr>
        <w:ind w:left="426" w:firstLine="425"/>
      </w:pPr>
      <w:r w:rsidRPr="000200B2">
        <w:t xml:space="preserve">Средний балл - </w:t>
      </w:r>
      <w:r>
        <w:t>93</w:t>
      </w:r>
      <w:r w:rsidRPr="000200B2">
        <w:t xml:space="preserve">. При проходном балле - </w:t>
      </w:r>
      <w:r>
        <w:t>3</w:t>
      </w:r>
      <w:r w:rsidRPr="000200B2">
        <w:t xml:space="preserve">2. Максимальный балл - </w:t>
      </w:r>
      <w:r>
        <w:t>93</w:t>
      </w:r>
      <w:r w:rsidRPr="000200B2">
        <w:t xml:space="preserve"> – </w:t>
      </w:r>
      <w:r>
        <w:t>Олейникова Ю.</w:t>
      </w:r>
    </w:p>
    <w:p w:rsidR="00E2151E" w:rsidRPr="000200B2" w:rsidRDefault="00E2151E" w:rsidP="00E2151E">
      <w:pPr>
        <w:ind w:left="426"/>
        <w:jc w:val="both"/>
      </w:pPr>
      <w:r w:rsidRPr="000200B2">
        <w:t xml:space="preserve">Учитель, подготовивший к ИА – </w:t>
      </w:r>
      <w:r>
        <w:t>Якушевич С.В. 1 к.к.</w:t>
      </w:r>
    </w:p>
    <w:p w:rsidR="009D7206" w:rsidRPr="000200B2" w:rsidRDefault="00E2151E" w:rsidP="00D50B43">
      <w:pPr>
        <w:jc w:val="center"/>
        <w:rPr>
          <w:b/>
          <w:i/>
          <w:noProof/>
        </w:rPr>
      </w:pPr>
      <w:r w:rsidRPr="000200B2">
        <w:rPr>
          <w:noProof/>
        </w:rPr>
        <w:drawing>
          <wp:anchor distT="0" distB="0" distL="114300" distR="114300" simplePos="0" relativeHeight="251663360" behindDoc="0" locked="0" layoutInCell="1" allowOverlap="1" wp14:anchorId="186316B4" wp14:editId="2C6AABFE">
            <wp:simplePos x="0" y="0"/>
            <wp:positionH relativeFrom="column">
              <wp:posOffset>1853565</wp:posOffset>
            </wp:positionH>
            <wp:positionV relativeFrom="paragraph">
              <wp:posOffset>231140</wp:posOffset>
            </wp:positionV>
            <wp:extent cx="4210050" cy="2771775"/>
            <wp:effectExtent l="0" t="0" r="0" b="9525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6E8" w:rsidRPr="000200B2">
        <w:br w:type="textWrapping" w:clear="all"/>
      </w:r>
    </w:p>
    <w:p w:rsidR="005145D9" w:rsidRPr="000200B2" w:rsidRDefault="003641B1" w:rsidP="003641B1">
      <w:pPr>
        <w:jc w:val="center"/>
        <w:rPr>
          <w:b/>
          <w:i/>
          <w:noProof/>
        </w:rPr>
      </w:pPr>
      <w:r w:rsidRPr="000200B2">
        <w:rPr>
          <w:b/>
          <w:i/>
          <w:noProof/>
        </w:rPr>
        <w:t>Диаграмма 3</w:t>
      </w:r>
    </w:p>
    <w:p w:rsidR="00D50B43" w:rsidRDefault="00D50B43" w:rsidP="00814DB4"/>
    <w:p w:rsidR="00A65F3A" w:rsidRDefault="00A65F3A" w:rsidP="00814DB4"/>
    <w:p w:rsidR="00A65F3A" w:rsidRDefault="00A65F3A" w:rsidP="00814DB4"/>
    <w:p w:rsidR="00A65F3A" w:rsidRDefault="00A65F3A" w:rsidP="00814DB4"/>
    <w:p w:rsidR="00A65F3A" w:rsidRDefault="00A65F3A" w:rsidP="00814DB4"/>
    <w:p w:rsidR="00A65F3A" w:rsidRDefault="00A65F3A" w:rsidP="00814DB4"/>
    <w:p w:rsidR="00A65F3A" w:rsidRPr="000200B2" w:rsidRDefault="00A65F3A" w:rsidP="00814DB4"/>
    <w:p w:rsidR="009D7206" w:rsidRPr="000200B2" w:rsidRDefault="009D7206" w:rsidP="00D50B43">
      <w:pPr>
        <w:tabs>
          <w:tab w:val="left" w:pos="1091"/>
        </w:tabs>
        <w:ind w:left="426" w:firstLine="425"/>
        <w:rPr>
          <w:b/>
        </w:rPr>
      </w:pPr>
    </w:p>
    <w:p w:rsidR="00814DB4" w:rsidRPr="000200B2" w:rsidRDefault="008B30DF" w:rsidP="00D50B43">
      <w:pPr>
        <w:tabs>
          <w:tab w:val="left" w:pos="1091"/>
        </w:tabs>
        <w:ind w:left="426" w:firstLine="425"/>
        <w:rPr>
          <w:b/>
        </w:rPr>
      </w:pPr>
      <w:r w:rsidRPr="000200B2">
        <w:rPr>
          <w:b/>
        </w:rPr>
        <w:lastRenderedPageBreak/>
        <w:t xml:space="preserve">4.  </w:t>
      </w:r>
      <w:r w:rsidR="00814DB4" w:rsidRPr="000200B2">
        <w:rPr>
          <w:b/>
        </w:rPr>
        <w:t>Обществознание</w:t>
      </w:r>
      <w:r w:rsidR="009D7206" w:rsidRPr="000200B2">
        <w:rPr>
          <w:b/>
        </w:rPr>
        <w:t xml:space="preserve"> </w:t>
      </w:r>
      <w:r w:rsidR="009D7206" w:rsidRPr="000200B2">
        <w:rPr>
          <w:noProof/>
        </w:rPr>
        <w:t>(диаграмма 4).</w:t>
      </w:r>
    </w:p>
    <w:p w:rsidR="009D7206" w:rsidRPr="000200B2" w:rsidRDefault="009D7206" w:rsidP="00D50B43">
      <w:pPr>
        <w:tabs>
          <w:tab w:val="left" w:pos="1091"/>
        </w:tabs>
        <w:ind w:left="426" w:firstLine="425"/>
      </w:pPr>
    </w:p>
    <w:p w:rsidR="00814DB4" w:rsidRPr="000200B2" w:rsidRDefault="00814DB4" w:rsidP="00D50B43">
      <w:pPr>
        <w:ind w:left="426" w:firstLine="425"/>
      </w:pPr>
      <w:r w:rsidRPr="000200B2">
        <w:rPr>
          <w:rStyle w:val="a4"/>
        </w:rPr>
        <w:t>Обществознание</w:t>
      </w:r>
      <w:r w:rsidR="008B30DF" w:rsidRPr="000200B2">
        <w:t xml:space="preserve"> - один из самых востреб</w:t>
      </w:r>
      <w:r w:rsidRPr="000200B2">
        <w:t>ованных у выпускников предметов по выбору. Экзаменационная работа по обществознанию состоит из двух частей и включает 29 заданий.</w:t>
      </w:r>
    </w:p>
    <w:p w:rsidR="00814DB4" w:rsidRPr="000200B2" w:rsidRDefault="00814DB4" w:rsidP="00D50B43">
      <w:pPr>
        <w:ind w:left="426" w:firstLine="425"/>
      </w:pPr>
      <w:r w:rsidRPr="000200B2">
        <w:t>По результатам ЕГЭ по обществоз</w:t>
      </w:r>
      <w:r w:rsidR="0089349F" w:rsidRPr="000200B2">
        <w:t>нанию прослеживается увеличение</w:t>
      </w:r>
      <w:r w:rsidRPr="000200B2">
        <w:t xml:space="preserve"> среднего балла</w:t>
      </w:r>
      <w:r w:rsidR="0089349F" w:rsidRPr="000200B2">
        <w:t xml:space="preserve">. Экзамен сдавали </w:t>
      </w:r>
      <w:r w:rsidR="00E2151E">
        <w:t>5</w:t>
      </w:r>
      <w:r w:rsidRPr="000200B2">
        <w:t xml:space="preserve"> учащихся. </w:t>
      </w:r>
    </w:p>
    <w:p w:rsidR="00814DB4" w:rsidRPr="000200B2" w:rsidRDefault="0089349F" w:rsidP="00D50B43">
      <w:pPr>
        <w:ind w:left="426" w:firstLine="425"/>
      </w:pPr>
      <w:r w:rsidRPr="000200B2">
        <w:t xml:space="preserve">Средний балл </w:t>
      </w:r>
      <w:r w:rsidR="008509D8">
        <w:t>–</w:t>
      </w:r>
      <w:r w:rsidRPr="000200B2">
        <w:t xml:space="preserve"> </w:t>
      </w:r>
      <w:r w:rsidR="008509D8">
        <w:t>65.4</w:t>
      </w:r>
      <w:r w:rsidR="00814DB4" w:rsidRPr="000200B2">
        <w:t>. При проходном</w:t>
      </w:r>
      <w:r w:rsidR="001F5F2D" w:rsidRPr="000200B2">
        <w:t xml:space="preserve"> балле - 42</w:t>
      </w:r>
      <w:r w:rsidR="00814DB4" w:rsidRPr="000200B2">
        <w:t>. Максимальный балл -</w:t>
      </w:r>
      <w:r w:rsidR="001F5F2D" w:rsidRPr="000200B2">
        <w:t xml:space="preserve"> </w:t>
      </w:r>
      <w:r w:rsidR="008509D8">
        <w:t>96</w:t>
      </w:r>
      <w:r w:rsidRPr="000200B2">
        <w:t xml:space="preserve"> – </w:t>
      </w:r>
      <w:r w:rsidR="008509D8">
        <w:t>Олейникова Ю</w:t>
      </w:r>
      <w:r w:rsidR="00814DB4" w:rsidRPr="000200B2">
        <w:t>.</w:t>
      </w:r>
      <w:r w:rsidR="008509D8">
        <w:t>; Белоусова Е.-</w:t>
      </w:r>
      <w:r w:rsidR="00A65F3A">
        <w:t xml:space="preserve"> </w:t>
      </w:r>
      <w:r w:rsidR="008509D8">
        <w:t>85</w:t>
      </w:r>
      <w:r w:rsidR="00A65F3A">
        <w:t>б.</w:t>
      </w:r>
    </w:p>
    <w:p w:rsidR="00814DB4" w:rsidRPr="000200B2" w:rsidRDefault="00DE24EF" w:rsidP="00D50B43">
      <w:pPr>
        <w:ind w:left="426" w:firstLine="425"/>
      </w:pPr>
      <w:r w:rsidRPr="000200B2">
        <w:rPr>
          <w:noProof/>
        </w:rPr>
        <w:drawing>
          <wp:anchor distT="0" distB="0" distL="114300" distR="114300" simplePos="0" relativeHeight="251665408" behindDoc="0" locked="0" layoutInCell="1" allowOverlap="1" wp14:anchorId="1354F662" wp14:editId="3D7CCF8A">
            <wp:simplePos x="0" y="0"/>
            <wp:positionH relativeFrom="column">
              <wp:posOffset>1824990</wp:posOffset>
            </wp:positionH>
            <wp:positionV relativeFrom="paragraph">
              <wp:posOffset>224790</wp:posOffset>
            </wp:positionV>
            <wp:extent cx="4953000" cy="3057525"/>
            <wp:effectExtent l="0" t="0" r="0" b="9525"/>
            <wp:wrapTopAndBottom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B4" w:rsidRPr="000200B2">
        <w:t>Учитель</w:t>
      </w:r>
      <w:r w:rsidR="001F5F2D" w:rsidRPr="000200B2">
        <w:t>,</w:t>
      </w:r>
      <w:r w:rsidR="00814DB4" w:rsidRPr="000200B2">
        <w:t xml:space="preserve"> под</w:t>
      </w:r>
      <w:r w:rsidR="0089349F" w:rsidRPr="000200B2">
        <w:t>готовивший к ИА – Якушевич С.В</w:t>
      </w:r>
      <w:r w:rsidR="00814DB4" w:rsidRPr="000200B2">
        <w:t xml:space="preserve">. </w:t>
      </w:r>
      <w:r w:rsidR="003A0CBF" w:rsidRPr="000200B2">
        <w:rPr>
          <w:color w:val="000000"/>
        </w:rPr>
        <w:t>(первая кв. кат)</w:t>
      </w:r>
    </w:p>
    <w:p w:rsidR="00814DB4" w:rsidRPr="000200B2" w:rsidRDefault="00D23510" w:rsidP="003641B1">
      <w:pPr>
        <w:ind w:left="426" w:firstLine="425"/>
        <w:rPr>
          <w:noProof/>
        </w:rPr>
      </w:pPr>
      <w:r w:rsidRPr="000200B2">
        <w:rPr>
          <w:noProof/>
        </w:rPr>
        <w:br w:type="textWrapping" w:clear="all"/>
      </w:r>
      <w:r w:rsidR="003641B1" w:rsidRPr="000200B2">
        <w:rPr>
          <w:noProof/>
        </w:rPr>
        <w:t xml:space="preserve">                                                                          </w:t>
      </w:r>
      <w:r w:rsidR="00D50B43" w:rsidRPr="000200B2">
        <w:t xml:space="preserve">  </w:t>
      </w:r>
      <w:r w:rsidR="00D50B43" w:rsidRPr="000200B2">
        <w:rPr>
          <w:b/>
          <w:i/>
        </w:rPr>
        <w:t>Диаграмма  4</w:t>
      </w:r>
    </w:p>
    <w:p w:rsidR="008B30DF" w:rsidRDefault="008B30DF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814DB4">
      <w:pPr>
        <w:ind w:left="360"/>
        <w:rPr>
          <w:b/>
        </w:rPr>
      </w:pPr>
    </w:p>
    <w:p w:rsidR="00F2515E" w:rsidRDefault="00F2515E" w:rsidP="00001750">
      <w:pPr>
        <w:rPr>
          <w:b/>
        </w:rPr>
      </w:pPr>
    </w:p>
    <w:p w:rsidR="00F2515E" w:rsidRPr="000200B2" w:rsidRDefault="00F2515E" w:rsidP="00814DB4">
      <w:pPr>
        <w:ind w:left="360"/>
        <w:rPr>
          <w:b/>
        </w:rPr>
      </w:pPr>
    </w:p>
    <w:p w:rsidR="008B30DF" w:rsidRPr="000200B2" w:rsidRDefault="008B30DF" w:rsidP="009D7206">
      <w:pPr>
        <w:rPr>
          <w:b/>
        </w:rPr>
      </w:pPr>
    </w:p>
    <w:p w:rsidR="00814DB4" w:rsidRPr="000200B2" w:rsidRDefault="00814DB4" w:rsidP="00174EFE">
      <w:pPr>
        <w:ind w:left="426" w:firstLine="425"/>
        <w:rPr>
          <w:b/>
        </w:rPr>
      </w:pPr>
      <w:r w:rsidRPr="000200B2">
        <w:rPr>
          <w:b/>
        </w:rPr>
        <w:t>5.Физика</w:t>
      </w:r>
      <w:r w:rsidR="00CD6635" w:rsidRPr="000200B2">
        <w:rPr>
          <w:b/>
        </w:rPr>
        <w:t xml:space="preserve"> </w:t>
      </w:r>
      <w:r w:rsidR="009D7206" w:rsidRPr="000200B2">
        <w:t>(диаграмма 5).</w:t>
      </w:r>
    </w:p>
    <w:p w:rsidR="009D7206" w:rsidRPr="000200B2" w:rsidRDefault="009D7206" w:rsidP="00174EFE">
      <w:pPr>
        <w:ind w:left="426" w:firstLine="425"/>
      </w:pPr>
    </w:p>
    <w:p w:rsidR="00814DB4" w:rsidRPr="000200B2" w:rsidRDefault="00814DB4" w:rsidP="00174EFE">
      <w:pPr>
        <w:ind w:left="426" w:firstLine="425"/>
        <w:jc w:val="both"/>
      </w:pPr>
      <w:r w:rsidRPr="000200B2">
        <w:t>По результатам ЕГЭ по</w:t>
      </w:r>
      <w:r w:rsidR="00CD6635" w:rsidRPr="000200B2">
        <w:t xml:space="preserve"> физике прослеживается </w:t>
      </w:r>
      <w:r w:rsidR="00DE24EF">
        <w:t xml:space="preserve">повышение </w:t>
      </w:r>
      <w:r w:rsidRPr="000200B2">
        <w:t xml:space="preserve">результатов по сравнению с прошлым годом. Экзамен сдавали  </w:t>
      </w:r>
      <w:r w:rsidR="00DE24EF">
        <w:t>4</w:t>
      </w:r>
      <w:r w:rsidRPr="000200B2">
        <w:t xml:space="preserve"> учащихся. Средний </w:t>
      </w:r>
      <w:r w:rsidR="00CD6635" w:rsidRPr="000200B2">
        <w:t>балл –</w:t>
      </w:r>
      <w:r w:rsidR="00DE24EF">
        <w:t xml:space="preserve"> </w:t>
      </w:r>
      <w:r w:rsidR="00CD6635" w:rsidRPr="000200B2">
        <w:t>4</w:t>
      </w:r>
      <w:r w:rsidR="00DE24EF">
        <w:t>7.2</w:t>
      </w:r>
      <w:r w:rsidRPr="000200B2">
        <w:t>. При проходном 36. М</w:t>
      </w:r>
      <w:r w:rsidR="00CD6635" w:rsidRPr="000200B2">
        <w:t xml:space="preserve">аксимальный результат составил </w:t>
      </w:r>
      <w:r w:rsidR="00DE24EF">
        <w:t>53</w:t>
      </w:r>
      <w:r w:rsidR="001F5F2D" w:rsidRPr="000200B2">
        <w:t xml:space="preserve"> баллов</w:t>
      </w:r>
      <w:r w:rsidR="00CD6635" w:rsidRPr="000200B2">
        <w:t xml:space="preserve"> у </w:t>
      </w:r>
      <w:r w:rsidR="00DE24EF">
        <w:t>Пырина Захара</w:t>
      </w:r>
      <w:r w:rsidRPr="000200B2">
        <w:t>. Не справились с работой -</w:t>
      </w:r>
      <w:r w:rsidR="001F5F2D" w:rsidRPr="000200B2">
        <w:t xml:space="preserve"> 0  обучающих</w:t>
      </w:r>
      <w:r w:rsidRPr="000200B2">
        <w:t>ся.</w:t>
      </w:r>
      <w:r w:rsidR="00174EFE" w:rsidRPr="000200B2">
        <w:t xml:space="preserve"> </w:t>
      </w:r>
    </w:p>
    <w:p w:rsidR="00814DB4" w:rsidRPr="000200B2" w:rsidRDefault="00814DB4" w:rsidP="003641B1">
      <w:pPr>
        <w:ind w:left="426" w:firstLine="425"/>
        <w:jc w:val="both"/>
      </w:pPr>
      <w:r w:rsidRPr="000200B2">
        <w:t>100- % успеваемость. Учитель</w:t>
      </w:r>
      <w:r w:rsidR="001F5F2D" w:rsidRPr="000200B2">
        <w:t>,</w:t>
      </w:r>
      <w:r w:rsidRPr="000200B2">
        <w:t xml:space="preserve"> подготовивши</w:t>
      </w:r>
      <w:r w:rsidR="00CD6635" w:rsidRPr="000200B2">
        <w:t>й к ИА – Кореневская С.А.</w:t>
      </w:r>
      <w:r w:rsidR="001F5F2D" w:rsidRPr="000200B2">
        <w:t xml:space="preserve">(первая </w:t>
      </w:r>
      <w:r w:rsidRPr="000200B2">
        <w:t>кв. кат.)</w:t>
      </w:r>
      <w:r w:rsidR="009D7206" w:rsidRPr="000200B2">
        <w:rPr>
          <w:noProof/>
        </w:rPr>
        <w:drawing>
          <wp:anchor distT="0" distB="0" distL="114300" distR="114300" simplePos="0" relativeHeight="251659264" behindDoc="0" locked="0" layoutInCell="1" allowOverlap="1" wp14:anchorId="7832B4F9" wp14:editId="4C55BE79">
            <wp:simplePos x="0" y="0"/>
            <wp:positionH relativeFrom="column">
              <wp:posOffset>1910715</wp:posOffset>
            </wp:positionH>
            <wp:positionV relativeFrom="paragraph">
              <wp:posOffset>303530</wp:posOffset>
            </wp:positionV>
            <wp:extent cx="6343650" cy="3838575"/>
            <wp:effectExtent l="0" t="0" r="0" b="9525"/>
            <wp:wrapTopAndBottom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B1" w:rsidRDefault="003641B1" w:rsidP="003641B1">
      <w:pPr>
        <w:jc w:val="center"/>
        <w:rPr>
          <w:b/>
          <w:i/>
        </w:rPr>
      </w:pPr>
      <w:r w:rsidRPr="000200B2">
        <w:rPr>
          <w:b/>
          <w:i/>
        </w:rPr>
        <w:t>Диаграмма  5</w:t>
      </w: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Default="00F2515E" w:rsidP="003641B1">
      <w:pPr>
        <w:jc w:val="center"/>
        <w:rPr>
          <w:b/>
          <w:i/>
        </w:rPr>
      </w:pPr>
    </w:p>
    <w:p w:rsidR="00F2515E" w:rsidRPr="000200B2" w:rsidRDefault="00F2515E" w:rsidP="003641B1">
      <w:pPr>
        <w:jc w:val="center"/>
        <w:rPr>
          <w:b/>
          <w:i/>
        </w:rPr>
      </w:pPr>
    </w:p>
    <w:p w:rsidR="00814DB4" w:rsidRPr="000200B2" w:rsidRDefault="00814DB4" w:rsidP="009D7206">
      <w:pPr>
        <w:rPr>
          <w:b/>
          <w:color w:val="000000"/>
        </w:rPr>
      </w:pPr>
      <w:r w:rsidRPr="000200B2">
        <w:rPr>
          <w:b/>
          <w:color w:val="000000"/>
        </w:rPr>
        <w:t xml:space="preserve"> </w:t>
      </w:r>
      <w:r w:rsidR="003641B1" w:rsidRPr="000200B2">
        <w:rPr>
          <w:b/>
          <w:color w:val="000000"/>
        </w:rPr>
        <w:t xml:space="preserve">         </w:t>
      </w:r>
      <w:r w:rsidRPr="000200B2">
        <w:rPr>
          <w:b/>
          <w:color w:val="000000"/>
        </w:rPr>
        <w:t xml:space="preserve"> 6.Биология</w:t>
      </w:r>
      <w:r w:rsidR="009D7206" w:rsidRPr="000200B2">
        <w:rPr>
          <w:b/>
          <w:color w:val="000000"/>
        </w:rPr>
        <w:t xml:space="preserve"> </w:t>
      </w:r>
      <w:r w:rsidR="009D7206" w:rsidRPr="000200B2">
        <w:rPr>
          <w:color w:val="000000"/>
        </w:rPr>
        <w:t>(диаграмма 6).</w:t>
      </w:r>
    </w:p>
    <w:p w:rsidR="00814DB4" w:rsidRPr="000200B2" w:rsidRDefault="00814DB4" w:rsidP="00174EFE">
      <w:pPr>
        <w:ind w:left="426" w:firstLine="425"/>
        <w:rPr>
          <w:color w:val="000000"/>
        </w:rPr>
      </w:pPr>
    </w:p>
    <w:p w:rsidR="00174EFE" w:rsidRPr="000200B2" w:rsidRDefault="00814DB4" w:rsidP="00174EFE">
      <w:pPr>
        <w:ind w:left="426" w:firstLine="425"/>
        <w:rPr>
          <w:color w:val="000000"/>
        </w:rPr>
      </w:pPr>
      <w:r w:rsidRPr="000200B2">
        <w:rPr>
          <w:color w:val="000000"/>
        </w:rPr>
        <w:t xml:space="preserve">По результатам ЕГЭ по биологии  </w:t>
      </w:r>
      <w:r w:rsidR="0056077A" w:rsidRPr="000200B2">
        <w:rPr>
          <w:color w:val="000000"/>
        </w:rPr>
        <w:t xml:space="preserve"> стабильная  динамика  результатов</w:t>
      </w:r>
      <w:r w:rsidRPr="000200B2">
        <w:rPr>
          <w:color w:val="000000"/>
        </w:rPr>
        <w:t>,</w:t>
      </w:r>
      <w:r w:rsidR="00DF1DA0" w:rsidRPr="000200B2">
        <w:rPr>
          <w:color w:val="000000"/>
        </w:rPr>
        <w:t xml:space="preserve"> наблюдается незначительное снижение среднего балла. </w:t>
      </w:r>
      <w:r w:rsidRPr="000200B2">
        <w:rPr>
          <w:color w:val="000000"/>
        </w:rPr>
        <w:t xml:space="preserve"> Экзамен сдавали 2 учащийся. Средний балл  -</w:t>
      </w:r>
      <w:r w:rsidR="00174EFE" w:rsidRPr="000200B2">
        <w:rPr>
          <w:color w:val="000000"/>
        </w:rPr>
        <w:t xml:space="preserve"> </w:t>
      </w:r>
      <w:r w:rsidR="00DE24EF">
        <w:rPr>
          <w:color w:val="000000"/>
        </w:rPr>
        <w:t>49.5</w:t>
      </w:r>
      <w:r w:rsidRPr="000200B2">
        <w:rPr>
          <w:color w:val="000000"/>
        </w:rPr>
        <w:t xml:space="preserve"> при проходном </w:t>
      </w:r>
      <w:r w:rsidR="00174EFE" w:rsidRPr="000200B2">
        <w:rPr>
          <w:color w:val="000000"/>
        </w:rPr>
        <w:t xml:space="preserve"> балле 36. 100% успеваемость. </w:t>
      </w:r>
      <w:r w:rsidR="00DF1DA0" w:rsidRPr="000200B2">
        <w:rPr>
          <w:color w:val="000000"/>
        </w:rPr>
        <w:t xml:space="preserve"> Самый высокий результат у </w:t>
      </w:r>
      <w:r w:rsidR="00DE24EF">
        <w:rPr>
          <w:color w:val="000000"/>
        </w:rPr>
        <w:t>Печенева М</w:t>
      </w:r>
      <w:r w:rsidR="00DF1DA0" w:rsidRPr="000200B2">
        <w:rPr>
          <w:color w:val="000000"/>
        </w:rPr>
        <w:t>.</w:t>
      </w:r>
      <w:r w:rsidR="00DE24EF">
        <w:rPr>
          <w:color w:val="000000"/>
        </w:rPr>
        <w:t>-53б.</w:t>
      </w:r>
    </w:p>
    <w:p w:rsidR="00E6340C" w:rsidRPr="000200B2" w:rsidRDefault="00814DB4" w:rsidP="00174EFE">
      <w:pPr>
        <w:ind w:left="426" w:firstLine="425"/>
        <w:rPr>
          <w:color w:val="000000"/>
        </w:rPr>
      </w:pPr>
      <w:r w:rsidRPr="000200B2">
        <w:rPr>
          <w:color w:val="000000"/>
        </w:rPr>
        <w:t>Учитель, подготовивший к ИА – С</w:t>
      </w:r>
      <w:r w:rsidR="00E6340C" w:rsidRPr="000200B2">
        <w:rPr>
          <w:color w:val="000000"/>
        </w:rPr>
        <w:t>околовская И.В.</w:t>
      </w:r>
      <w:r w:rsidR="00001750">
        <w:rPr>
          <w:color w:val="000000"/>
        </w:rPr>
        <w:t xml:space="preserve"> </w:t>
      </w:r>
      <w:r w:rsidR="00E6340C" w:rsidRPr="000200B2">
        <w:rPr>
          <w:color w:val="000000"/>
        </w:rPr>
        <w:t>(первая кв. кат</w:t>
      </w:r>
      <w:r w:rsidR="00174EFE" w:rsidRPr="000200B2">
        <w:rPr>
          <w:color w:val="000000"/>
        </w:rPr>
        <w:t>)</w:t>
      </w:r>
    </w:p>
    <w:p w:rsidR="00814DB4" w:rsidRPr="000200B2" w:rsidRDefault="00174EFE" w:rsidP="00174EFE">
      <w:pPr>
        <w:ind w:left="426" w:firstLine="851"/>
      </w:pPr>
      <w:r w:rsidRPr="000200B2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10791821" wp14:editId="109F5A3F">
            <wp:simplePos x="0" y="0"/>
            <wp:positionH relativeFrom="column">
              <wp:posOffset>2015490</wp:posOffset>
            </wp:positionH>
            <wp:positionV relativeFrom="paragraph">
              <wp:posOffset>346075</wp:posOffset>
            </wp:positionV>
            <wp:extent cx="5876925" cy="3943350"/>
            <wp:effectExtent l="0" t="0" r="9525" b="19050"/>
            <wp:wrapTopAndBottom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B4" w:rsidRPr="000200B2" w:rsidRDefault="00174EFE" w:rsidP="008C25E0">
      <w:pPr>
        <w:tabs>
          <w:tab w:val="left" w:pos="6825"/>
        </w:tabs>
        <w:rPr>
          <w:b/>
          <w:i/>
        </w:rPr>
      </w:pPr>
      <w:r w:rsidRPr="000200B2">
        <w:rPr>
          <w:color w:val="FF0000"/>
        </w:rPr>
        <w:tab/>
      </w:r>
      <w:r w:rsidRPr="000200B2">
        <w:rPr>
          <w:b/>
          <w:i/>
        </w:rPr>
        <w:t>Диаграмма 6</w:t>
      </w:r>
    </w:p>
    <w:p w:rsidR="00E6340C" w:rsidRPr="000200B2" w:rsidRDefault="00E6340C" w:rsidP="00814DB4"/>
    <w:p w:rsidR="00E6340C" w:rsidRPr="000200B2" w:rsidRDefault="00E6340C" w:rsidP="00814DB4"/>
    <w:p w:rsidR="00001750" w:rsidRDefault="00001750" w:rsidP="001F5F2D">
      <w:pPr>
        <w:ind w:left="426" w:firstLine="425"/>
        <w:rPr>
          <w:b/>
        </w:rPr>
      </w:pPr>
    </w:p>
    <w:p w:rsidR="00001750" w:rsidRDefault="00001750" w:rsidP="001F5F2D">
      <w:pPr>
        <w:ind w:left="426" w:firstLine="425"/>
        <w:rPr>
          <w:b/>
        </w:rPr>
      </w:pPr>
    </w:p>
    <w:p w:rsidR="00001750" w:rsidRDefault="00001750" w:rsidP="001F5F2D">
      <w:pPr>
        <w:ind w:left="426" w:firstLine="425"/>
        <w:rPr>
          <w:b/>
        </w:rPr>
      </w:pPr>
    </w:p>
    <w:p w:rsidR="00001750" w:rsidRDefault="00001750" w:rsidP="001F5F2D">
      <w:pPr>
        <w:ind w:left="426" w:firstLine="425"/>
        <w:rPr>
          <w:b/>
        </w:rPr>
      </w:pPr>
    </w:p>
    <w:p w:rsidR="001F5F2D" w:rsidRPr="000200B2" w:rsidRDefault="00E6340C" w:rsidP="001F5F2D">
      <w:pPr>
        <w:ind w:left="426" w:firstLine="425"/>
      </w:pPr>
      <w:r w:rsidRPr="000200B2">
        <w:rPr>
          <w:b/>
        </w:rPr>
        <w:lastRenderedPageBreak/>
        <w:t>7. Литература.</w:t>
      </w:r>
      <w:r w:rsidRPr="000200B2">
        <w:t xml:space="preserve"> </w:t>
      </w:r>
    </w:p>
    <w:p w:rsidR="000B51DE" w:rsidRPr="000200B2" w:rsidRDefault="000B51DE" w:rsidP="000B51DE">
      <w:pPr>
        <w:pStyle w:val="a3"/>
        <w:ind w:left="851"/>
      </w:pPr>
      <w:r w:rsidRPr="000200B2">
        <w:t>В 2017-2018 году предмет не выбирался учащимися.</w:t>
      </w:r>
    </w:p>
    <w:p w:rsidR="00DB140B" w:rsidRPr="000200B2" w:rsidRDefault="00DB140B" w:rsidP="00DB140B">
      <w:pPr>
        <w:ind w:left="426" w:firstLine="425"/>
      </w:pPr>
      <w:r>
        <w:t>Предмет выбирают незначительное количество выпускников.</w:t>
      </w:r>
      <w:r w:rsidRPr="000200B2">
        <w:t xml:space="preserve"> </w:t>
      </w:r>
      <w:r>
        <w:t xml:space="preserve"> В 2019 г. э</w:t>
      </w:r>
      <w:r w:rsidRPr="000200B2">
        <w:t>кзамен сдавал</w:t>
      </w:r>
      <w:r>
        <w:t>а</w:t>
      </w:r>
      <w:r w:rsidRPr="000200B2">
        <w:t xml:space="preserve"> </w:t>
      </w:r>
      <w:r>
        <w:t xml:space="preserve">1 </w:t>
      </w:r>
      <w:r w:rsidRPr="000200B2">
        <w:t>учащ</w:t>
      </w:r>
      <w:r>
        <w:t>аяся</w:t>
      </w:r>
      <w:r w:rsidRPr="000200B2">
        <w:t xml:space="preserve">. </w:t>
      </w:r>
    </w:p>
    <w:p w:rsidR="00DB140B" w:rsidRPr="000200B2" w:rsidRDefault="00DB140B" w:rsidP="00DB140B">
      <w:pPr>
        <w:ind w:left="426" w:firstLine="425"/>
      </w:pPr>
      <w:r w:rsidRPr="000200B2">
        <w:t xml:space="preserve">Средний балл - </w:t>
      </w:r>
      <w:r>
        <w:t>73</w:t>
      </w:r>
      <w:r w:rsidRPr="000200B2">
        <w:t xml:space="preserve">. При проходном балле - </w:t>
      </w:r>
      <w:r>
        <w:t>3</w:t>
      </w:r>
      <w:r w:rsidRPr="000200B2">
        <w:t xml:space="preserve">2. Максимальный балл - </w:t>
      </w:r>
      <w:r w:rsidR="002917AB">
        <w:t>73</w:t>
      </w:r>
      <w:r w:rsidRPr="000200B2">
        <w:t xml:space="preserve"> – </w:t>
      </w:r>
      <w:r w:rsidR="002917AB">
        <w:t>Белоусова Е</w:t>
      </w:r>
      <w:r>
        <w:t>.</w:t>
      </w:r>
    </w:p>
    <w:p w:rsidR="00DB140B" w:rsidRPr="000200B2" w:rsidRDefault="00DB140B" w:rsidP="00DB140B">
      <w:pPr>
        <w:ind w:left="426"/>
        <w:jc w:val="both"/>
      </w:pPr>
      <w:r w:rsidRPr="000200B2">
        <w:t xml:space="preserve">Учитель, подготовивший к ИА – </w:t>
      </w:r>
      <w:r w:rsidR="002917AB">
        <w:t>Балыбердина Ю.В</w:t>
      </w:r>
      <w:r>
        <w:t>. 1 к.к.</w:t>
      </w:r>
    </w:p>
    <w:p w:rsidR="001F5F2D" w:rsidRPr="000200B2" w:rsidRDefault="001F5F2D" w:rsidP="008C25E0"/>
    <w:p w:rsidR="001F5F2D" w:rsidRPr="000200B2" w:rsidRDefault="000B51DE" w:rsidP="001F5F2D">
      <w:pPr>
        <w:ind w:left="426" w:firstLine="425"/>
      </w:pPr>
      <w:r w:rsidRPr="000200B2">
        <w:rPr>
          <w:b/>
        </w:rPr>
        <w:t>8. Химия</w:t>
      </w:r>
      <w:r w:rsidR="00E6340C" w:rsidRPr="000200B2">
        <w:t xml:space="preserve"> </w:t>
      </w:r>
      <w:r w:rsidRPr="000200B2">
        <w:rPr>
          <w:color w:val="000000"/>
        </w:rPr>
        <w:t>(диаграмма 7).</w:t>
      </w:r>
    </w:p>
    <w:p w:rsidR="001F5F2D" w:rsidRPr="000200B2" w:rsidRDefault="008C25E0" w:rsidP="008C25E0">
      <w:r w:rsidRPr="000200B2">
        <w:t xml:space="preserve">            </w:t>
      </w:r>
      <w:r w:rsidR="00E6340C" w:rsidRPr="000200B2">
        <w:t>Экзамен по химии сдав</w:t>
      </w:r>
      <w:r w:rsidR="000B51DE" w:rsidRPr="000200B2">
        <w:t>ал один ученик. Средний балл-</w:t>
      </w:r>
      <w:r w:rsidR="002917AB">
        <w:t>46</w:t>
      </w:r>
      <w:r w:rsidR="00E6340C" w:rsidRPr="000200B2">
        <w:t>. Минимальный</w:t>
      </w:r>
      <w:r w:rsidR="001F5F2D" w:rsidRPr="000200B2">
        <w:t xml:space="preserve"> балл</w:t>
      </w:r>
      <w:r w:rsidR="00E6340C" w:rsidRPr="000200B2">
        <w:t xml:space="preserve"> -</w:t>
      </w:r>
      <w:r w:rsidR="001F5F2D" w:rsidRPr="000200B2">
        <w:t xml:space="preserve"> </w:t>
      </w:r>
      <w:r w:rsidR="00E6340C" w:rsidRPr="000200B2">
        <w:t xml:space="preserve">36. 100% успеваемость. </w:t>
      </w:r>
    </w:p>
    <w:p w:rsidR="000B51DE" w:rsidRPr="000200B2" w:rsidRDefault="000B51DE" w:rsidP="001F5F2D">
      <w:pPr>
        <w:ind w:left="426" w:firstLine="425"/>
      </w:pPr>
      <w:r w:rsidRPr="000200B2">
        <w:t xml:space="preserve">Наблюдается </w:t>
      </w:r>
      <w:r w:rsidR="002917AB">
        <w:t>снижение среднего балла.</w:t>
      </w:r>
      <w:r w:rsidRPr="000200B2">
        <w:t>.</w:t>
      </w:r>
    </w:p>
    <w:p w:rsidR="00E6340C" w:rsidRDefault="009D7206" w:rsidP="001F5F2D">
      <w:pPr>
        <w:ind w:left="426" w:firstLine="425"/>
        <w:rPr>
          <w:color w:val="000000"/>
        </w:rPr>
      </w:pPr>
      <w:r w:rsidRPr="000200B2">
        <w:rPr>
          <w:color w:val="000000"/>
        </w:rPr>
        <w:t xml:space="preserve">Учитель, подготовивший к ИА – </w:t>
      </w:r>
      <w:r w:rsidR="00E6340C" w:rsidRPr="000200B2">
        <w:t xml:space="preserve"> Соколовская И.В.</w:t>
      </w:r>
      <w:r w:rsidRPr="000200B2">
        <w:rPr>
          <w:color w:val="000000"/>
        </w:rPr>
        <w:t xml:space="preserve"> (первая кв. кат).</w:t>
      </w:r>
    </w:p>
    <w:p w:rsidR="00FA1747" w:rsidRDefault="00FA1747" w:rsidP="001F5F2D">
      <w:pPr>
        <w:ind w:left="426" w:firstLine="425"/>
        <w:rPr>
          <w:color w:val="000000"/>
        </w:rPr>
      </w:pPr>
    </w:p>
    <w:p w:rsidR="00E6340C" w:rsidRPr="000200B2" w:rsidRDefault="000B51DE" w:rsidP="000B51DE">
      <w:pPr>
        <w:ind w:left="426" w:firstLine="425"/>
        <w:jc w:val="center"/>
      </w:pPr>
      <w:r w:rsidRPr="000200B2">
        <w:rPr>
          <w:noProof/>
        </w:rPr>
        <w:drawing>
          <wp:inline distT="0" distB="0" distL="0" distR="0" wp14:anchorId="4C55D577" wp14:editId="13EB0103">
            <wp:extent cx="4533900" cy="2857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0600" w:rsidRDefault="00A80600" w:rsidP="000B51DE">
      <w:pPr>
        <w:ind w:left="426" w:firstLine="425"/>
        <w:jc w:val="center"/>
      </w:pPr>
    </w:p>
    <w:p w:rsidR="00FA1747" w:rsidRDefault="00FA1747" w:rsidP="000B51DE">
      <w:pPr>
        <w:ind w:left="426" w:firstLine="425"/>
        <w:jc w:val="center"/>
      </w:pPr>
    </w:p>
    <w:p w:rsidR="00001750" w:rsidRDefault="00FA1747" w:rsidP="00001750">
      <w:r w:rsidRPr="00FA1747">
        <w:rPr>
          <w:b/>
          <w:bCs/>
        </w:rPr>
        <w:t>9.Информатика.</w:t>
      </w:r>
      <w:r w:rsidR="00001750" w:rsidRPr="00001750">
        <w:t xml:space="preserve"> </w:t>
      </w:r>
    </w:p>
    <w:p w:rsidR="00001750" w:rsidRPr="000200B2" w:rsidRDefault="00001750" w:rsidP="00001750">
      <w:r w:rsidRPr="000200B2">
        <w:t xml:space="preserve">Экзамен по </w:t>
      </w:r>
      <w:r>
        <w:t xml:space="preserve"> информатике </w:t>
      </w:r>
      <w:r w:rsidRPr="000200B2">
        <w:t>сдавал один ученик. Средний балл-</w:t>
      </w:r>
      <w:r>
        <w:t>46</w:t>
      </w:r>
      <w:r w:rsidRPr="000200B2">
        <w:t xml:space="preserve">. Минимальный балл - </w:t>
      </w:r>
      <w:r w:rsidR="0093682B">
        <w:t>40</w:t>
      </w:r>
      <w:r w:rsidRPr="000200B2">
        <w:t xml:space="preserve">. 100% успеваемость. </w:t>
      </w:r>
    </w:p>
    <w:p w:rsidR="00FA1747" w:rsidRPr="00FA1747" w:rsidRDefault="0093682B" w:rsidP="0093682B">
      <w:pPr>
        <w:rPr>
          <w:b/>
          <w:bCs/>
        </w:rPr>
      </w:pPr>
      <w:r>
        <w:t>Обучающийся в течении учебного года находился на семейном обучении.</w:t>
      </w:r>
    </w:p>
    <w:p w:rsidR="0093682B" w:rsidRDefault="0093682B" w:rsidP="00A80600">
      <w:pPr>
        <w:rPr>
          <w:b/>
        </w:rPr>
      </w:pPr>
    </w:p>
    <w:p w:rsidR="00A80600" w:rsidRPr="000200B2" w:rsidRDefault="00A80600" w:rsidP="00A80600">
      <w:r w:rsidRPr="000200B2">
        <w:rPr>
          <w:b/>
        </w:rPr>
        <w:t xml:space="preserve">Вывод: </w:t>
      </w:r>
      <w:r w:rsidRPr="000200B2">
        <w:rPr>
          <w:bCs/>
        </w:rPr>
        <w:t>Государственная (итоговая) аттестация выпускников средней школы  осуществлялась в 201</w:t>
      </w:r>
      <w:r w:rsidR="002917AB">
        <w:rPr>
          <w:bCs/>
        </w:rPr>
        <w:t>9</w:t>
      </w:r>
      <w:r w:rsidRPr="000200B2">
        <w:rPr>
          <w:bCs/>
        </w:rPr>
        <w:t xml:space="preserve"> году по 2  предметам:  русский язык и математика</w:t>
      </w:r>
      <w:r w:rsidR="00655E3C">
        <w:rPr>
          <w:bCs/>
        </w:rPr>
        <w:t>(б)</w:t>
      </w:r>
      <w:r w:rsidRPr="000200B2">
        <w:rPr>
          <w:bCs/>
        </w:rPr>
        <w:t>,  как условие для получения аттестата о среднем образовании и предметов  по выбору учащихся, необходимых для дальнейшего поступления в учебные заведения</w:t>
      </w:r>
      <w:r w:rsidR="0093682B">
        <w:rPr>
          <w:bCs/>
        </w:rPr>
        <w:t>.</w:t>
      </w:r>
      <w:r w:rsidRPr="000200B2">
        <w:rPr>
          <w:bCs/>
        </w:rPr>
        <w:t xml:space="preserve">  В ОУ были созданы у</w:t>
      </w:r>
      <w:r w:rsidRPr="000200B2">
        <w:t>словия для подготовки к итоговой аттестации.</w:t>
      </w:r>
      <w:r w:rsidRPr="000200B2">
        <w:rPr>
          <w:bCs/>
        </w:rPr>
        <w:t xml:space="preserve"> </w:t>
      </w:r>
      <w:r w:rsidRPr="000200B2">
        <w:t xml:space="preserve">Образовательное учреждение зарегистрировано в системе Стат Град, учащиеся имели возможность выполнять тренировочные и диагностические работы, по графику. Реализовывался план подготовки к </w:t>
      </w:r>
      <w:r w:rsidRPr="000200B2">
        <w:lastRenderedPageBreak/>
        <w:t>ЕГЭ -201</w:t>
      </w:r>
      <w:r w:rsidR="002917AB">
        <w:t>9</w:t>
      </w:r>
      <w:r w:rsidRPr="000200B2">
        <w:t>.  В  учебный план были включены учебные курсы по выбору учащихся. Проводилось индивидуальное консультирование обучающихся и родителей. Осуществлялся регулярный контроль  хода подготовки</w:t>
      </w:r>
      <w:r w:rsidR="00AC2BD6" w:rsidRPr="000200B2">
        <w:t xml:space="preserve"> к ЕГЭ</w:t>
      </w:r>
      <w:r w:rsidRPr="000200B2">
        <w:t xml:space="preserve"> администрацией школы.</w:t>
      </w:r>
    </w:p>
    <w:p w:rsidR="00A80600" w:rsidRPr="000200B2" w:rsidRDefault="0093682B" w:rsidP="00A80600">
      <w:r>
        <w:t>О</w:t>
      </w:r>
      <w:r w:rsidR="00A80600" w:rsidRPr="000200B2">
        <w:t>рганизация и проведение родительских собраний, индивидуальных встреч родителей с педагогами, посещение семей</w:t>
      </w:r>
      <w:r>
        <w:t xml:space="preserve"> проходило в соответствии с планом паботы.</w:t>
      </w:r>
      <w:r w:rsidR="00A80600" w:rsidRPr="000200B2">
        <w:t xml:space="preserve"> Осуществлялось своевременное предоставление информации для  РИС, прослеживается ответственная работа технического спе</w:t>
      </w:r>
      <w:r w:rsidR="00AC2BD6" w:rsidRPr="000200B2">
        <w:t>циалиста</w:t>
      </w:r>
      <w:r>
        <w:t xml:space="preserve"> Кудерко И.А.</w:t>
      </w:r>
      <w:r w:rsidR="00A80600" w:rsidRPr="000200B2">
        <w:t xml:space="preserve">, эффективное взаимодействие ОУ со специалистами управления образованием (в области ГИА). </w:t>
      </w:r>
      <w:r>
        <w:t>Девять</w:t>
      </w:r>
      <w:r w:rsidR="00A80600" w:rsidRPr="000200B2">
        <w:t xml:space="preserve"> сотрудников повысили квалификацию по программам организации и проведения ГИА-201</w:t>
      </w:r>
      <w:r>
        <w:t>9</w:t>
      </w:r>
      <w:r w:rsidR="00A80600" w:rsidRPr="000200B2">
        <w:t>г.</w:t>
      </w:r>
    </w:p>
    <w:p w:rsidR="00A80600" w:rsidRPr="000200B2" w:rsidRDefault="00A80600" w:rsidP="00A80600">
      <w:pPr>
        <w:rPr>
          <w:b/>
        </w:rPr>
      </w:pPr>
      <w:r w:rsidRPr="000200B2">
        <w:t xml:space="preserve">   Эффективность системы работы ОУ </w:t>
      </w:r>
      <w:r w:rsidR="00AC2BD6" w:rsidRPr="000200B2">
        <w:t>подтверждают результаты ЕГЭ</w:t>
      </w:r>
      <w:r w:rsidRPr="000200B2">
        <w:t>-201</w:t>
      </w:r>
      <w:r w:rsidR="0093682B">
        <w:t>9</w:t>
      </w:r>
      <w:r w:rsidRPr="000200B2">
        <w:t>г.</w:t>
      </w:r>
    </w:p>
    <w:p w:rsidR="00945054" w:rsidRPr="000200B2" w:rsidRDefault="00A80600" w:rsidP="00945054">
      <w:pPr>
        <w:pStyle w:val="a3"/>
        <w:ind w:left="0"/>
      </w:pPr>
      <w:r w:rsidRPr="000200B2">
        <w:rPr>
          <w:b/>
        </w:rPr>
        <w:t xml:space="preserve"> </w:t>
      </w:r>
      <w:r w:rsidRPr="000200B2">
        <w:t xml:space="preserve">В целом наблюдается положительная динамика результатов. </w:t>
      </w:r>
      <w:r w:rsidR="00AC2BD6" w:rsidRPr="000200B2">
        <w:t>По результатам ЕГЭ</w:t>
      </w:r>
      <w:r w:rsidRPr="000200B2">
        <w:t xml:space="preserve"> каждым педагогом проведён анализ. Можно обобщить выявленные проблемы: недостаточный уровень мотивации при выборе предметов для сдачи, не сформированная профориентационная</w:t>
      </w:r>
      <w:r w:rsidR="00AC2BD6" w:rsidRPr="000200B2">
        <w:t xml:space="preserve"> направленность.</w:t>
      </w:r>
      <w:r w:rsidRPr="000200B2">
        <w:t xml:space="preserve"> Считаю необходимым учесть данные вопросы при планировании и ведении дальнейшей деятельности. </w:t>
      </w:r>
      <w:r w:rsidR="00AC2BD6" w:rsidRPr="000200B2">
        <w:t xml:space="preserve"> </w:t>
      </w:r>
      <w:r w:rsidRPr="000200B2">
        <w:t xml:space="preserve">Следует отметить положительную динамику результатов по предметам: </w:t>
      </w:r>
      <w:r w:rsidR="00AC2BD6" w:rsidRPr="000200B2">
        <w:t xml:space="preserve"> </w:t>
      </w:r>
      <w:r w:rsidRPr="000200B2">
        <w:t>обществознание</w:t>
      </w:r>
      <w:r w:rsidR="0093682B">
        <w:t>, история, литература,</w:t>
      </w:r>
      <w:r w:rsidRPr="000200B2">
        <w:t xml:space="preserve"> ста</w:t>
      </w:r>
      <w:r w:rsidR="00AC2BD6" w:rsidRPr="000200B2">
        <w:t>бильную успеваемость по предметам</w:t>
      </w:r>
      <w:r w:rsidRPr="000200B2">
        <w:t xml:space="preserve"> </w:t>
      </w:r>
      <w:r w:rsidR="0093682B">
        <w:t xml:space="preserve">русский язык, </w:t>
      </w:r>
      <w:r w:rsidR="00AC2BD6" w:rsidRPr="000200B2">
        <w:t>математика (п)</w:t>
      </w:r>
      <w:r w:rsidR="0093682B">
        <w:t>,(б)</w:t>
      </w:r>
      <w:r w:rsidR="00AC2BD6" w:rsidRPr="000200B2">
        <w:t xml:space="preserve">, </w:t>
      </w:r>
      <w:r w:rsidRPr="000200B2">
        <w:t xml:space="preserve">биология, </w:t>
      </w:r>
      <w:r w:rsidR="0093682B">
        <w:t>химия</w:t>
      </w:r>
      <w:r w:rsidR="00AC2BD6" w:rsidRPr="000200B2">
        <w:t xml:space="preserve">, </w:t>
      </w:r>
      <w:r w:rsidRPr="000200B2">
        <w:t>что свидетельствует о качественн</w:t>
      </w:r>
      <w:r w:rsidR="00AC2BD6" w:rsidRPr="000200B2">
        <w:t>ой подготовке учеников к ЕГЭ-201</w:t>
      </w:r>
      <w:r w:rsidR="0093682B">
        <w:t>9</w:t>
      </w:r>
      <w:r w:rsidRPr="000200B2">
        <w:t>.</w:t>
      </w:r>
      <w:r w:rsidR="00945054" w:rsidRPr="000200B2">
        <w:t xml:space="preserve"> </w:t>
      </w:r>
      <w:r w:rsidRPr="000200B2">
        <w:t>Результаты экзаменов используются для государственной (итоговой) аттестации выпускников основной школы, а также для аккредитации образовательных учреждений и аттестации педагогических кадров.</w:t>
      </w:r>
      <w:r w:rsidR="00945054" w:rsidRPr="000200B2">
        <w:t xml:space="preserve">   </w:t>
      </w:r>
    </w:p>
    <w:p w:rsidR="00814DB4" w:rsidRPr="000200B2" w:rsidRDefault="0093682B" w:rsidP="00945054">
      <w:pPr>
        <w:spacing w:before="100" w:beforeAutospacing="1" w:after="100" w:afterAutospacing="1"/>
      </w:pPr>
      <w:r>
        <w:t>28</w:t>
      </w:r>
      <w:r w:rsidR="00ED581E" w:rsidRPr="000200B2">
        <w:t>.06.201</w:t>
      </w:r>
      <w:r>
        <w:t>9</w:t>
      </w:r>
      <w:bookmarkStart w:id="0" w:name="_GoBack"/>
      <w:bookmarkEnd w:id="0"/>
      <w:r w:rsidR="00ED581E" w:rsidRPr="000200B2">
        <w:t>г.</w:t>
      </w:r>
      <w:r w:rsidR="00945054" w:rsidRPr="000200B2">
        <w:t xml:space="preserve">    </w:t>
      </w:r>
      <w:r w:rsidR="00814DB4" w:rsidRPr="000200B2">
        <w:t>Информацию подготовила зам. по УМР Козлова Н.С.</w:t>
      </w:r>
    </w:p>
    <w:p w:rsidR="00C54299" w:rsidRPr="000200B2" w:rsidRDefault="00C54299" w:rsidP="001F5F2D">
      <w:pPr>
        <w:ind w:left="426" w:firstLine="425"/>
      </w:pPr>
    </w:p>
    <w:sectPr w:rsidR="00C54299" w:rsidRPr="000200B2" w:rsidSect="00814DB4">
      <w:pgSz w:w="16838" w:h="11906" w:orient="landscape"/>
      <w:pgMar w:top="426" w:right="53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5C" w:rsidRDefault="00CA725C" w:rsidP="009E3712">
      <w:r>
        <w:separator/>
      </w:r>
    </w:p>
  </w:endnote>
  <w:endnote w:type="continuationSeparator" w:id="0">
    <w:p w:rsidR="00CA725C" w:rsidRDefault="00CA725C" w:rsidP="009E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5C" w:rsidRDefault="00CA725C" w:rsidP="009E3712">
      <w:r>
        <w:separator/>
      </w:r>
    </w:p>
  </w:footnote>
  <w:footnote w:type="continuationSeparator" w:id="0">
    <w:p w:rsidR="00CA725C" w:rsidRDefault="00CA725C" w:rsidP="009E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05313"/>
    <w:multiLevelType w:val="hybridMultilevel"/>
    <w:tmpl w:val="00783A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35"/>
    <w:rsid w:val="00001750"/>
    <w:rsid w:val="0001443E"/>
    <w:rsid w:val="000200B2"/>
    <w:rsid w:val="000548E6"/>
    <w:rsid w:val="00071F2D"/>
    <w:rsid w:val="000B51DE"/>
    <w:rsid w:val="000C4915"/>
    <w:rsid w:val="000F23E3"/>
    <w:rsid w:val="00164CB5"/>
    <w:rsid w:val="00174EFE"/>
    <w:rsid w:val="001A575C"/>
    <w:rsid w:val="001F5F2D"/>
    <w:rsid w:val="00213FE2"/>
    <w:rsid w:val="0021431F"/>
    <w:rsid w:val="002356E3"/>
    <w:rsid w:val="002403A9"/>
    <w:rsid w:val="00276593"/>
    <w:rsid w:val="002917AB"/>
    <w:rsid w:val="002D28B2"/>
    <w:rsid w:val="002F6383"/>
    <w:rsid w:val="003641B1"/>
    <w:rsid w:val="003849A6"/>
    <w:rsid w:val="003A0CBF"/>
    <w:rsid w:val="003A63D0"/>
    <w:rsid w:val="003A6C71"/>
    <w:rsid w:val="003B634A"/>
    <w:rsid w:val="003E75F8"/>
    <w:rsid w:val="003F2075"/>
    <w:rsid w:val="004E10C1"/>
    <w:rsid w:val="004F3535"/>
    <w:rsid w:val="00506C96"/>
    <w:rsid w:val="005145D9"/>
    <w:rsid w:val="0056077A"/>
    <w:rsid w:val="00584E0B"/>
    <w:rsid w:val="005C3B87"/>
    <w:rsid w:val="005F2FCB"/>
    <w:rsid w:val="00642683"/>
    <w:rsid w:val="00655E3C"/>
    <w:rsid w:val="006846D3"/>
    <w:rsid w:val="006D3CF3"/>
    <w:rsid w:val="0073320C"/>
    <w:rsid w:val="007A0F3C"/>
    <w:rsid w:val="007B13FE"/>
    <w:rsid w:val="007B3B2E"/>
    <w:rsid w:val="007C73DB"/>
    <w:rsid w:val="008144A8"/>
    <w:rsid w:val="00814DB4"/>
    <w:rsid w:val="00842BFF"/>
    <w:rsid w:val="008509D8"/>
    <w:rsid w:val="00890E5F"/>
    <w:rsid w:val="0089349F"/>
    <w:rsid w:val="008B30DF"/>
    <w:rsid w:val="008C25E0"/>
    <w:rsid w:val="009131BB"/>
    <w:rsid w:val="0093682B"/>
    <w:rsid w:val="00941752"/>
    <w:rsid w:val="00945054"/>
    <w:rsid w:val="00976097"/>
    <w:rsid w:val="00980F34"/>
    <w:rsid w:val="009837AB"/>
    <w:rsid w:val="009D7206"/>
    <w:rsid w:val="009E3712"/>
    <w:rsid w:val="009F4DB5"/>
    <w:rsid w:val="009F7546"/>
    <w:rsid w:val="00A26E50"/>
    <w:rsid w:val="00A65F3A"/>
    <w:rsid w:val="00A67BC7"/>
    <w:rsid w:val="00A80600"/>
    <w:rsid w:val="00A846BD"/>
    <w:rsid w:val="00AA6D62"/>
    <w:rsid w:val="00AC2BD6"/>
    <w:rsid w:val="00AC3D88"/>
    <w:rsid w:val="00AD4935"/>
    <w:rsid w:val="00AE0C11"/>
    <w:rsid w:val="00AE3CA5"/>
    <w:rsid w:val="00AE4106"/>
    <w:rsid w:val="00AF1162"/>
    <w:rsid w:val="00B32508"/>
    <w:rsid w:val="00BF5F9B"/>
    <w:rsid w:val="00C51934"/>
    <w:rsid w:val="00C54299"/>
    <w:rsid w:val="00C82FE5"/>
    <w:rsid w:val="00C936BF"/>
    <w:rsid w:val="00CA08E7"/>
    <w:rsid w:val="00CA25AA"/>
    <w:rsid w:val="00CA725C"/>
    <w:rsid w:val="00CB3C7B"/>
    <w:rsid w:val="00CD06E8"/>
    <w:rsid w:val="00CD37BC"/>
    <w:rsid w:val="00CD6635"/>
    <w:rsid w:val="00CE6AE4"/>
    <w:rsid w:val="00D21DB1"/>
    <w:rsid w:val="00D23510"/>
    <w:rsid w:val="00D2578A"/>
    <w:rsid w:val="00D31649"/>
    <w:rsid w:val="00D50B43"/>
    <w:rsid w:val="00D5203F"/>
    <w:rsid w:val="00D72CDD"/>
    <w:rsid w:val="00DB140B"/>
    <w:rsid w:val="00DE24EF"/>
    <w:rsid w:val="00DF1692"/>
    <w:rsid w:val="00DF1DA0"/>
    <w:rsid w:val="00E2151E"/>
    <w:rsid w:val="00E6340C"/>
    <w:rsid w:val="00E842A9"/>
    <w:rsid w:val="00ED581E"/>
    <w:rsid w:val="00F2515E"/>
    <w:rsid w:val="00F3306F"/>
    <w:rsid w:val="00F64903"/>
    <w:rsid w:val="00FA1747"/>
    <w:rsid w:val="00FD09CB"/>
    <w:rsid w:val="00FD2AE1"/>
    <w:rsid w:val="00FD3380"/>
    <w:rsid w:val="00FF13C6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4BAC"/>
  <w15:docId w15:val="{785B0244-B254-4EB8-BE10-DAF51A2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B4"/>
    <w:pPr>
      <w:ind w:left="720"/>
      <w:contextualSpacing/>
    </w:pPr>
  </w:style>
  <w:style w:type="character" w:styleId="a4">
    <w:name w:val="Strong"/>
    <w:uiPriority w:val="22"/>
    <w:qFormat/>
    <w:rsid w:val="00814D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3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3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3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5-422E-9558-C56D5C778D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5-422E-9558-C56D5C778D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65-422E-9558-C56D5C778D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65-422E-9558-C56D5C778DE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65-422E-9558-C56D5C778DE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65-422E-9558-C56D5C778DE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65-422E-9558-C56D5C778DE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B-4F09-8C71-F9E95B279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17632"/>
        <c:axId val="44527616"/>
      </c:barChart>
      <c:catAx>
        <c:axId val="4451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527616"/>
        <c:crosses val="autoZero"/>
        <c:auto val="1"/>
        <c:lblAlgn val="ctr"/>
        <c:lblOffset val="100"/>
        <c:noMultiLvlLbl val="0"/>
      </c:catAx>
      <c:valAx>
        <c:axId val="445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1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математика базовая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9-4C36-BAF6-7F6488241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базовый уровень-2019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69-4D81-9358-0B612A2080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69-4D81-9358-0B612A2080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69-4D81-9358-0B612A2080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69-4D81-9358-0B612A2080ED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69-4D81-9358-0B612A208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397747156605425E-2"/>
          <c:y val="5.1994125734283206E-2"/>
          <c:w val="0.8143974190726158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FE-41D2-9C84-7DAB22700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FE-41D2-9C84-7DAB227004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FE-41D2-9C84-7DAB227004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FE-41D2-9C84-7DAB2270041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FE-41D2-9C84-7DAB2270041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FE-41D2-9C84-7DAB2270041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FE-41D2-9C84-7DAB2270041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AF-4561-BBF7-95C8A88F2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11360"/>
        <c:axId val="82512896"/>
      </c:barChart>
      <c:catAx>
        <c:axId val="82511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512896"/>
        <c:crosses val="autoZero"/>
        <c:auto val="1"/>
        <c:lblAlgn val="ctr"/>
        <c:lblOffset val="100"/>
        <c:noMultiLvlLbl val="0"/>
      </c:catAx>
      <c:valAx>
        <c:axId val="825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1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63CB-4D11-B13C-BE3F8B3983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CB-4D11-B13C-BE3F8B3983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CB-4D11-B13C-BE3F8B3983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CB-4D11-B13C-BE3F8B3983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CB-4D11-B13C-BE3F8B3983B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CB-4D11-B13C-BE3F8B3983B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6-4C19-B87B-C8008636E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28896"/>
        <c:axId val="82547072"/>
      </c:barChart>
      <c:catAx>
        <c:axId val="8252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547072"/>
        <c:crosses val="autoZero"/>
        <c:auto val="1"/>
        <c:lblAlgn val="ctr"/>
        <c:lblOffset val="100"/>
        <c:noMultiLvlLbl val="0"/>
      </c:catAx>
      <c:valAx>
        <c:axId val="825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2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3.6121109861267341E-2"/>
          <c:w val="0.81439741907261587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7-4DE8-9F70-C8F00F1EB6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7-4DE8-9F70-C8F00F1EB6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7-4DE8-9F70-C8F00F1EB6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7-4DE8-9F70-C8F00F1EB6B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47-4DE8-9F70-C8F00F1EB6B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47-4DE8-9F70-C8F00F1EB6B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47-4DE8-9F70-C8F00F1EB6B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65.400000000000006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D-4C62-9837-5228F3376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08416"/>
        <c:axId val="84109952"/>
      </c:barChart>
      <c:catAx>
        <c:axId val="8410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109952"/>
        <c:crosses val="autoZero"/>
        <c:auto val="1"/>
        <c:lblAlgn val="ctr"/>
        <c:lblOffset val="100"/>
        <c:noMultiLvlLbl val="0"/>
      </c:catAx>
      <c:valAx>
        <c:axId val="84109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41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0-4923-B626-653510FA69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F0-4923-B626-653510FA69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F0-4923-B626-653510FA69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F0-4923-B626-653510FA69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F0-4923-B626-653510FA69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F0-4923-B626-653510FA69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F0-4923-B626-653510FA69E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A-48E2-A354-01E7CA37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175488"/>
        <c:axId val="84193664"/>
      </c:barChart>
      <c:catAx>
        <c:axId val="8417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193664"/>
        <c:crosses val="autoZero"/>
        <c:auto val="1"/>
        <c:lblAlgn val="ctr"/>
        <c:lblOffset val="100"/>
        <c:noMultiLvlLbl val="0"/>
      </c:catAx>
      <c:valAx>
        <c:axId val="841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7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31353046813422"/>
          <c:y val="6.4328573101590639E-2"/>
          <c:w val="7.4603579957910671E-2"/>
          <c:h val="0.47862136339657296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C-44D3-B728-69F47C5ED0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C-44D3-B728-69F47C5ED0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0C-44D3-B728-69F47C5ED0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0C-44D3-B728-69F47C5ED0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0C-44D3-B728-69F47C5ED0B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0C-44D3-B728-69F47C5ED0B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0C-44D3-B728-69F47C5ED0B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7-4EA5-B0F6-BA73DB15B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92352"/>
        <c:axId val="84293888"/>
      </c:barChart>
      <c:catAx>
        <c:axId val="842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293888"/>
        <c:crosses val="autoZero"/>
        <c:auto val="1"/>
        <c:lblAlgn val="ctr"/>
        <c:lblOffset val="100"/>
        <c:noMultiLvlLbl val="0"/>
      </c:catAx>
      <c:valAx>
        <c:axId val="8429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79194311394091"/>
          <c:y val="0.25000018239241945"/>
          <c:w val="8.0528337523449761E-2"/>
          <c:h val="0.46590437064932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A4-460E-A5FA-D3AA04D259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A4-460E-A5FA-D3AA04D259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A4-460E-A5FA-D3AA04D2598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диаграмма 7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C-45B6-9292-4B6811194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56480"/>
        <c:axId val="84366464"/>
      </c:barChart>
      <c:catAx>
        <c:axId val="8435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366464"/>
        <c:crosses val="autoZero"/>
        <c:auto val="1"/>
        <c:lblAlgn val="ctr"/>
        <c:lblOffset val="100"/>
        <c:noMultiLvlLbl val="0"/>
      </c:catAx>
      <c:valAx>
        <c:axId val="8436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5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20BD-3659-48CB-AF42-45B1F15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Админ</cp:lastModifiedBy>
  <cp:revision>114</cp:revision>
  <cp:lastPrinted>2019-06-26T04:32:00Z</cp:lastPrinted>
  <dcterms:created xsi:type="dcterms:W3CDTF">2017-07-03T11:25:00Z</dcterms:created>
  <dcterms:modified xsi:type="dcterms:W3CDTF">2019-06-28T05:38:00Z</dcterms:modified>
</cp:coreProperties>
</file>