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AA4E" w14:textId="77777777" w:rsidR="003A6973" w:rsidRPr="003A6973" w:rsidRDefault="003A6973" w:rsidP="003A6973">
      <w:pPr>
        <w:shd w:val="clear" w:color="auto" w:fill="FFFFFF"/>
        <w:spacing w:after="0" w:line="240" w:lineRule="auto"/>
        <w:outlineLvl w:val="0"/>
        <w:rPr>
          <w:rFonts w:ascii="Arial" w:eastAsia="Times New Roman" w:hAnsi="Arial" w:cs="Arial"/>
          <w:color w:val="000000"/>
          <w:kern w:val="36"/>
          <w:sz w:val="48"/>
          <w:szCs w:val="48"/>
        </w:rPr>
      </w:pPr>
      <w:r w:rsidRPr="003A6973">
        <w:rPr>
          <w:rFonts w:ascii="Arial" w:eastAsia="Times New Roman" w:hAnsi="Arial" w:cs="Arial"/>
          <w:color w:val="000000"/>
          <w:kern w:val="36"/>
          <w:sz w:val="48"/>
          <w:szCs w:val="48"/>
        </w:rPr>
        <w:t>Действия при получении сообщения об угрозе террористического акта</w:t>
      </w:r>
    </w:p>
    <w:p w14:paraId="41B05A90" w14:textId="77777777" w:rsidR="003A6973" w:rsidRPr="003A6973" w:rsidRDefault="003A6973" w:rsidP="003A6973">
      <w:pPr>
        <w:shd w:val="clear" w:color="auto" w:fill="FFFFFF"/>
        <w:spacing w:before="120" w:after="120" w:line="408" w:lineRule="atLeast"/>
        <w:jc w:val="both"/>
        <w:rPr>
          <w:rFonts w:ascii="Arial" w:eastAsia="Times New Roman" w:hAnsi="Arial" w:cs="Arial"/>
          <w:color w:val="000000"/>
          <w:sz w:val="19"/>
          <w:szCs w:val="19"/>
        </w:rPr>
      </w:pPr>
      <w:r w:rsidRPr="003A6973">
        <w:rPr>
          <w:rFonts w:ascii="Arial" w:eastAsia="Times New Roman" w:hAnsi="Arial" w:cs="Arial"/>
          <w:color w:val="000000"/>
          <w:sz w:val="19"/>
          <w:szCs w:val="19"/>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14:paraId="258F1344" w14:textId="77777777" w:rsidR="003A6973" w:rsidRPr="003A6973" w:rsidRDefault="003A6973" w:rsidP="003A6973">
      <w:pPr>
        <w:shd w:val="clear" w:color="auto" w:fill="FFFFFF"/>
        <w:spacing w:before="120" w:after="120" w:line="408" w:lineRule="atLeast"/>
        <w:jc w:val="both"/>
        <w:rPr>
          <w:rFonts w:ascii="Arial" w:eastAsia="Times New Roman" w:hAnsi="Arial" w:cs="Arial"/>
          <w:color w:val="000000"/>
          <w:sz w:val="19"/>
          <w:szCs w:val="19"/>
        </w:rPr>
      </w:pPr>
      <w:r w:rsidRPr="003A6973">
        <w:rPr>
          <w:rFonts w:ascii="Arial" w:eastAsia="Times New Roman" w:hAnsi="Arial" w:cs="Arial"/>
          <w:b/>
          <w:bCs/>
          <w:color w:val="000000"/>
          <w:sz w:val="19"/>
        </w:rPr>
        <w:t>При получении информации об угрозе террористического акта по телефону ни в коем случае не бросайте трубку!</w:t>
      </w:r>
      <w:r w:rsidRPr="003A6973">
        <w:rPr>
          <w:rFonts w:ascii="Arial" w:eastAsia="Times New Roman" w:hAnsi="Arial" w:cs="Arial"/>
          <w:color w:val="000000"/>
          <w:sz w:val="19"/>
          <w:szCs w:val="19"/>
        </w:rPr>
        <w:t> 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w:t>
      </w:r>
      <w:r w:rsidRPr="003A6973">
        <w:rPr>
          <w:rFonts w:ascii="Arial" w:eastAsia="Times New Roman" w:hAnsi="Arial" w:cs="Arial"/>
          <w:b/>
          <w:bCs/>
          <w:color w:val="000000"/>
          <w:sz w:val="19"/>
        </w:rPr>
        <w:t>Поэтому с ним целесообразно вести переговоры следующим способом:</w:t>
      </w:r>
    </w:p>
    <w:p w14:paraId="7CE2E015" w14:textId="31FEFEB6"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 xml:space="preserve">старайтесь удержать злоумышленника на линии как можно дольше, по возможности запишите на </w:t>
      </w:r>
      <w:r w:rsidR="002F0CA5">
        <w:rPr>
          <w:rFonts w:ascii="Arial" w:eastAsia="Times New Roman" w:hAnsi="Arial" w:cs="Arial"/>
          <w:color w:val="000000"/>
          <w:sz w:val="19"/>
          <w:szCs w:val="19"/>
        </w:rPr>
        <w:t>диктофон</w:t>
      </w:r>
      <w:r w:rsidRPr="003A6973">
        <w:rPr>
          <w:rFonts w:ascii="Arial" w:eastAsia="Times New Roman" w:hAnsi="Arial" w:cs="Arial"/>
          <w:color w:val="000000"/>
          <w:sz w:val="19"/>
          <w:szCs w:val="19"/>
        </w:rPr>
        <w:t xml:space="preserve"> полностью его сообщение;</w:t>
      </w:r>
    </w:p>
    <w:p w14:paraId="26BB714E"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сообщите ему, что в здании, куда заложена бомба, находится много людей и её взрыв может привести к многочисленным жертвам невинных людей;</w:t>
      </w:r>
    </w:p>
    <w:p w14:paraId="7FF6718F"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особое внимание уделяйте при телефонном разговоре фоновым шумам, например звуку проезжающих автомашин, музыке или любым другим звукам, которые могли бы помочь определить место, откуда был сделан звонок;</w:t>
      </w:r>
    </w:p>
    <w:p w14:paraId="2C6F6BF1"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внимательно вслушивайтесь в оттенки голоса звонящего (женский, мужской, детский), его тон (спокойный, возбуждённый), акцент, речевые особенности;</w:t>
      </w:r>
    </w:p>
    <w:p w14:paraId="498CD318"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при имеющейся возможности по другому аппарату свяжитесь с дежурной частью горрайоргана с целью выяснения, откуда поступил звонок.</w:t>
      </w:r>
    </w:p>
    <w:p w14:paraId="3A8B11B1" w14:textId="77777777" w:rsidR="003A6973" w:rsidRPr="003A6973" w:rsidRDefault="003A6973" w:rsidP="003A6973">
      <w:pPr>
        <w:shd w:val="clear" w:color="auto" w:fill="FFFFFF"/>
        <w:spacing w:before="120" w:after="120" w:line="408" w:lineRule="atLeast"/>
        <w:jc w:val="both"/>
        <w:rPr>
          <w:rFonts w:ascii="Arial" w:eastAsia="Times New Roman" w:hAnsi="Arial" w:cs="Arial"/>
          <w:color w:val="000000"/>
          <w:sz w:val="19"/>
          <w:szCs w:val="19"/>
        </w:rPr>
      </w:pPr>
      <w:r w:rsidRPr="003A6973">
        <w:rPr>
          <w:rFonts w:ascii="Arial" w:eastAsia="Times New Roman" w:hAnsi="Arial" w:cs="Arial"/>
          <w:b/>
          <w:bCs/>
          <w:color w:val="000000"/>
          <w:sz w:val="19"/>
        </w:rPr>
        <w:t>Задайте ему следующие вопросы:</w:t>
      </w:r>
    </w:p>
    <w:p w14:paraId="04328234"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с какой целью заложено взрывное устройство?</w:t>
      </w:r>
    </w:p>
    <w:p w14:paraId="20B9C2A2"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когда должен произойти взрыв?</w:t>
      </w:r>
    </w:p>
    <w:p w14:paraId="116C8E1B"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где находится взрывное устройство в данный момент?</w:t>
      </w:r>
    </w:p>
    <w:p w14:paraId="0C945FB4"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какой у него вид?</w:t>
      </w:r>
    </w:p>
    <w:p w14:paraId="33283137"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имеется ли другое устройство?</w:t>
      </w:r>
    </w:p>
    <w:p w14:paraId="27F4E6FF" w14:textId="77777777" w:rsidR="003A6973" w:rsidRPr="003A6973" w:rsidRDefault="003A6973" w:rsidP="003A6973">
      <w:pPr>
        <w:numPr>
          <w:ilvl w:val="1"/>
          <w:numId w:val="1"/>
        </w:numPr>
        <w:shd w:val="clear" w:color="auto" w:fill="FFFFFF"/>
        <w:spacing w:before="120" w:after="120" w:line="408" w:lineRule="atLeast"/>
        <w:ind w:left="720"/>
        <w:jc w:val="both"/>
        <w:rPr>
          <w:rFonts w:ascii="Arial" w:eastAsia="Times New Roman" w:hAnsi="Arial" w:cs="Arial"/>
          <w:color w:val="000000"/>
          <w:sz w:val="19"/>
          <w:szCs w:val="19"/>
        </w:rPr>
      </w:pPr>
      <w:r w:rsidRPr="003A6973">
        <w:rPr>
          <w:rFonts w:ascii="Arial" w:eastAsia="Times New Roman" w:hAnsi="Arial" w:cs="Arial"/>
          <w:color w:val="000000"/>
          <w:sz w:val="19"/>
          <w:szCs w:val="19"/>
        </w:rPr>
        <w:t>вы один или вас несколько человек?</w:t>
      </w:r>
    </w:p>
    <w:p w14:paraId="794E7A35" w14:textId="79D11048" w:rsidR="003A6973" w:rsidRPr="003A6973" w:rsidRDefault="003A6973" w:rsidP="003A6973">
      <w:pPr>
        <w:shd w:val="clear" w:color="auto" w:fill="FFFFFF"/>
        <w:spacing w:before="120" w:after="120" w:line="408" w:lineRule="atLeast"/>
        <w:jc w:val="both"/>
        <w:rPr>
          <w:rFonts w:ascii="Arial" w:eastAsia="Times New Roman" w:hAnsi="Arial" w:cs="Arial"/>
          <w:color w:val="000000"/>
          <w:sz w:val="19"/>
          <w:szCs w:val="19"/>
        </w:rPr>
      </w:pPr>
      <w:r w:rsidRPr="003A6973">
        <w:rPr>
          <w:rFonts w:ascii="Arial" w:eastAsia="Times New Roman" w:hAnsi="Arial" w:cs="Arial"/>
          <w:color w:val="000000"/>
          <w:sz w:val="19"/>
          <w:szCs w:val="19"/>
        </w:rPr>
        <w:lastRenderedPageBreak/>
        <w:t>После получения сообщения об угрозе совершения теракта, информацию немедленно сообщить по телефону </w:t>
      </w:r>
      <w:r w:rsidRPr="002F0CA5">
        <w:rPr>
          <w:rFonts w:ascii="Arial" w:eastAsia="Times New Roman" w:hAnsi="Arial" w:cs="Arial"/>
          <w:color w:val="000000"/>
          <w:sz w:val="19"/>
        </w:rPr>
        <w:t>«02</w:t>
      </w:r>
      <w:r w:rsidR="002F0CA5" w:rsidRPr="002F0CA5">
        <w:rPr>
          <w:rFonts w:ascii="Arial" w:eastAsia="Times New Roman" w:hAnsi="Arial" w:cs="Arial"/>
          <w:color w:val="000000"/>
          <w:sz w:val="19"/>
        </w:rPr>
        <w:t>»</w:t>
      </w:r>
      <w:r w:rsidR="002F0CA5" w:rsidRPr="003A6973">
        <w:rPr>
          <w:rFonts w:ascii="Arial" w:eastAsia="Times New Roman" w:hAnsi="Arial" w:cs="Arial"/>
          <w:color w:val="000000"/>
          <w:sz w:val="19"/>
          <w:szCs w:val="19"/>
        </w:rPr>
        <w:t>, либо</w:t>
      </w:r>
      <w:r w:rsidRPr="003A6973">
        <w:rPr>
          <w:rFonts w:ascii="Arial" w:eastAsia="Times New Roman" w:hAnsi="Arial" w:cs="Arial"/>
          <w:color w:val="000000"/>
          <w:sz w:val="19"/>
          <w:szCs w:val="19"/>
        </w:rPr>
        <w:t xml:space="preserve"> в ближайший орган внутренних дел.</w:t>
      </w:r>
    </w:p>
    <w:p w14:paraId="52B33E96" w14:textId="77777777" w:rsidR="003A6973" w:rsidRPr="003A6973" w:rsidRDefault="003A6973" w:rsidP="003A6973">
      <w:pPr>
        <w:shd w:val="clear" w:color="auto" w:fill="FFFFFF"/>
        <w:spacing w:before="120" w:after="120" w:line="408" w:lineRule="atLeast"/>
        <w:jc w:val="both"/>
        <w:rPr>
          <w:rFonts w:ascii="Arial" w:eastAsia="Times New Roman" w:hAnsi="Arial" w:cs="Arial"/>
          <w:color w:val="000000"/>
          <w:sz w:val="19"/>
          <w:szCs w:val="19"/>
        </w:rPr>
      </w:pPr>
      <w:r w:rsidRPr="003A6973">
        <w:rPr>
          <w:rFonts w:ascii="Arial" w:eastAsia="Times New Roman" w:hAnsi="Arial" w:cs="Arial"/>
          <w:color w:val="000000"/>
          <w:sz w:val="19"/>
          <w:szCs w:val="19"/>
        </w:rPr>
        <w:t>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почтовые штемпеля). Впоследствии всё это поможет найти и идентифицировать автора послания.</w:t>
      </w:r>
    </w:p>
    <w:p w14:paraId="4174D9BB" w14:textId="77777777" w:rsidR="003A6973" w:rsidRPr="003A6973" w:rsidRDefault="003A6973" w:rsidP="003A6973">
      <w:pPr>
        <w:shd w:val="clear" w:color="auto" w:fill="FFFFFF"/>
        <w:spacing w:before="120" w:after="120" w:line="408" w:lineRule="atLeast"/>
        <w:rPr>
          <w:rFonts w:ascii="Arial" w:eastAsia="Times New Roman" w:hAnsi="Arial" w:cs="Arial"/>
          <w:color w:val="000000"/>
          <w:sz w:val="19"/>
          <w:szCs w:val="19"/>
        </w:rPr>
      </w:pPr>
      <w:r w:rsidRPr="003A6973">
        <w:rPr>
          <w:rFonts w:ascii="Arial" w:eastAsia="Times New Roman" w:hAnsi="Arial" w:cs="Arial"/>
          <w:b/>
          <w:bCs/>
          <w:color w:val="000000"/>
          <w:sz w:val="19"/>
        </w:rPr>
        <w:t>ТЕЛЕФОНЫ ЭКСТРЕННЫХ СЛУЖБ: </w:t>
      </w:r>
    </w:p>
    <w:tbl>
      <w:tblPr>
        <w:tblW w:w="7560" w:type="dxa"/>
        <w:tblBorders>
          <w:top w:val="single" w:sz="4" w:space="0" w:color="CECECE"/>
          <w:left w:val="single" w:sz="4" w:space="0" w:color="CECECE"/>
          <w:bottom w:val="single" w:sz="4" w:space="0" w:color="CECECE"/>
          <w:right w:val="single" w:sz="4" w:space="0" w:color="CECECE"/>
        </w:tblBorders>
        <w:tblCellMar>
          <w:left w:w="0" w:type="dxa"/>
          <w:right w:w="0" w:type="dxa"/>
        </w:tblCellMar>
        <w:tblLook w:val="04A0" w:firstRow="1" w:lastRow="0" w:firstColumn="1" w:lastColumn="0" w:noHBand="0" w:noVBand="1"/>
      </w:tblPr>
      <w:tblGrid>
        <w:gridCol w:w="2537"/>
        <w:gridCol w:w="741"/>
        <w:gridCol w:w="4282"/>
      </w:tblGrid>
      <w:tr w:rsidR="003A6973" w:rsidRPr="003A6973" w14:paraId="7E746A71" w14:textId="77777777" w:rsidTr="003A6973">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3AD1C196"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ПОЛИЦИЯ</w:t>
            </w:r>
          </w:p>
        </w:tc>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1BFC6B7D"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02</w:t>
            </w:r>
          </w:p>
        </w:tc>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3DB465A3"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b/>
                <w:bCs/>
                <w:color w:val="000000"/>
                <w:sz w:val="19"/>
              </w:rPr>
              <w:t>«Телефон доверия»</w:t>
            </w:r>
          </w:p>
          <w:p w14:paraId="4CAC0624"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(8112) 592-233</w:t>
            </w:r>
          </w:p>
        </w:tc>
      </w:tr>
      <w:tr w:rsidR="003A6973" w:rsidRPr="003A6973" w14:paraId="639E6E44" w14:textId="77777777" w:rsidTr="003A6973">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5324694F" w14:textId="77777777" w:rsidR="003A6973" w:rsidRPr="003A6973" w:rsidRDefault="003A6973" w:rsidP="003A6973">
            <w:pPr>
              <w:spacing w:before="120" w:after="120" w:line="408" w:lineRule="atLeast"/>
              <w:rPr>
                <w:rFonts w:ascii="Times New Roman" w:eastAsia="Times New Roman" w:hAnsi="Times New Roman" w:cs="Times New Roman"/>
                <w:sz w:val="19"/>
                <w:szCs w:val="19"/>
              </w:rPr>
            </w:pPr>
            <w:r w:rsidRPr="003A6973">
              <w:rPr>
                <w:rFonts w:ascii="Times New Roman" w:eastAsia="Times New Roman" w:hAnsi="Times New Roman" w:cs="Times New Roman"/>
                <w:sz w:val="19"/>
                <w:szCs w:val="19"/>
              </w:rPr>
              <w:t>ФСБ</w:t>
            </w:r>
          </w:p>
        </w:tc>
        <w:tc>
          <w:tcPr>
            <w:tcW w:w="0" w:type="auto"/>
            <w:gridSpan w:val="2"/>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36E8EA12" w14:textId="77777777" w:rsidR="003A6973" w:rsidRPr="003A6973" w:rsidRDefault="003A6973" w:rsidP="003A6973">
            <w:pPr>
              <w:spacing w:before="120" w:after="120" w:line="408" w:lineRule="atLeast"/>
              <w:rPr>
                <w:rFonts w:ascii="Times New Roman" w:eastAsia="Times New Roman" w:hAnsi="Times New Roman" w:cs="Times New Roman"/>
                <w:sz w:val="19"/>
                <w:szCs w:val="19"/>
              </w:rPr>
            </w:pPr>
            <w:r w:rsidRPr="003A6973">
              <w:rPr>
                <w:rFonts w:ascii="Times New Roman" w:eastAsia="Times New Roman" w:hAnsi="Times New Roman" w:cs="Times New Roman"/>
                <w:b/>
                <w:bCs/>
                <w:sz w:val="19"/>
              </w:rPr>
              <w:t>«Телефон доверия»</w:t>
            </w:r>
          </w:p>
          <w:p w14:paraId="20687D5F" w14:textId="77777777" w:rsidR="003A6973" w:rsidRPr="003A6973" w:rsidRDefault="003A6973" w:rsidP="003A6973">
            <w:pPr>
              <w:spacing w:before="120" w:after="120" w:line="408" w:lineRule="atLeast"/>
              <w:rPr>
                <w:rFonts w:ascii="Times New Roman" w:eastAsia="Times New Roman" w:hAnsi="Times New Roman" w:cs="Times New Roman"/>
                <w:sz w:val="19"/>
                <w:szCs w:val="19"/>
              </w:rPr>
            </w:pPr>
            <w:r w:rsidRPr="003A6973">
              <w:rPr>
                <w:rFonts w:ascii="Times New Roman" w:eastAsia="Times New Roman" w:hAnsi="Times New Roman" w:cs="Times New Roman"/>
                <w:sz w:val="19"/>
                <w:szCs w:val="19"/>
              </w:rPr>
              <w:t>(8112) 662-016</w:t>
            </w:r>
          </w:p>
        </w:tc>
      </w:tr>
      <w:tr w:rsidR="003A6973" w:rsidRPr="003A6973" w14:paraId="6AB65CA7" w14:textId="77777777" w:rsidTr="003A6973">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4FF90EDA"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МЧС</w:t>
            </w:r>
          </w:p>
        </w:tc>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20BBAD78"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01</w:t>
            </w:r>
          </w:p>
        </w:tc>
        <w:tc>
          <w:tcPr>
            <w:tcW w:w="0" w:type="auto"/>
            <w:tcBorders>
              <w:top w:val="single" w:sz="6" w:space="0" w:color="CECECE"/>
              <w:left w:val="single" w:sz="6" w:space="0" w:color="CECECE"/>
              <w:bottom w:val="single" w:sz="6" w:space="0" w:color="CECECE"/>
              <w:right w:val="single" w:sz="6" w:space="0" w:color="CECECE"/>
            </w:tcBorders>
            <w:tcMar>
              <w:top w:w="48" w:type="dxa"/>
              <w:left w:w="60" w:type="dxa"/>
              <w:bottom w:w="48" w:type="dxa"/>
              <w:right w:w="60" w:type="dxa"/>
            </w:tcMar>
            <w:vAlign w:val="center"/>
            <w:hideMark/>
          </w:tcPr>
          <w:p w14:paraId="5AFA9A20"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b/>
                <w:bCs/>
                <w:color w:val="000000"/>
                <w:sz w:val="19"/>
              </w:rPr>
              <w:t>«Телефон доверия»</w:t>
            </w:r>
          </w:p>
          <w:p w14:paraId="5AF7AD0B" w14:textId="77777777" w:rsidR="003A6973" w:rsidRPr="003A6973" w:rsidRDefault="003A6973" w:rsidP="003A6973">
            <w:pPr>
              <w:spacing w:before="120" w:after="120" w:line="408" w:lineRule="atLeast"/>
              <w:rPr>
                <w:rFonts w:ascii="Times New Roman" w:eastAsia="Times New Roman" w:hAnsi="Times New Roman" w:cs="Times New Roman"/>
                <w:color w:val="000000"/>
                <w:sz w:val="19"/>
                <w:szCs w:val="19"/>
              </w:rPr>
            </w:pPr>
            <w:r w:rsidRPr="003A6973">
              <w:rPr>
                <w:rFonts w:ascii="Times New Roman" w:eastAsia="Times New Roman" w:hAnsi="Times New Roman" w:cs="Times New Roman"/>
                <w:color w:val="000000"/>
                <w:sz w:val="19"/>
                <w:szCs w:val="19"/>
              </w:rPr>
              <w:t>(8112) 799-999</w:t>
            </w:r>
          </w:p>
        </w:tc>
      </w:tr>
    </w:tbl>
    <w:p w14:paraId="710D74D1" w14:textId="77777777" w:rsidR="00C20BCF" w:rsidRDefault="00C20BCF"/>
    <w:sectPr w:rsidR="00C2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DCB"/>
    <w:multiLevelType w:val="multilevel"/>
    <w:tmpl w:val="2C20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A6973"/>
    <w:rsid w:val="002F0CA5"/>
    <w:rsid w:val="003A6973"/>
    <w:rsid w:val="00C2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221F"/>
  <w15:docId w15:val="{549F762E-84D3-4F3E-A6DC-7F356E7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A69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973"/>
    <w:rPr>
      <w:rFonts w:ascii="Times New Roman" w:eastAsia="Times New Roman" w:hAnsi="Times New Roman" w:cs="Times New Roman"/>
      <w:b/>
      <w:bCs/>
      <w:kern w:val="36"/>
      <w:sz w:val="48"/>
      <w:szCs w:val="48"/>
    </w:rPr>
  </w:style>
  <w:style w:type="paragraph" w:styleId="a3">
    <w:name w:val="Normal (Web)"/>
    <w:basedOn w:val="a"/>
    <w:uiPriority w:val="99"/>
    <w:unhideWhenUsed/>
    <w:rsid w:val="003A69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6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33">
      <w:bodyDiv w:val="1"/>
      <w:marLeft w:val="0"/>
      <w:marRight w:val="0"/>
      <w:marTop w:val="0"/>
      <w:marBottom w:val="0"/>
      <w:divBdr>
        <w:top w:val="none" w:sz="0" w:space="0" w:color="auto"/>
        <w:left w:val="none" w:sz="0" w:space="0" w:color="auto"/>
        <w:bottom w:val="none" w:sz="0" w:space="0" w:color="auto"/>
        <w:right w:val="none" w:sz="0" w:space="0" w:color="auto"/>
      </w:divBdr>
      <w:divsChild>
        <w:div w:id="1835291797">
          <w:marLeft w:val="0"/>
          <w:marRight w:val="0"/>
          <w:marTop w:val="0"/>
          <w:marBottom w:val="0"/>
          <w:divBdr>
            <w:top w:val="none" w:sz="0" w:space="0" w:color="auto"/>
            <w:left w:val="none" w:sz="0" w:space="0" w:color="auto"/>
            <w:bottom w:val="none" w:sz="0" w:space="0" w:color="auto"/>
            <w:right w:val="none" w:sz="0" w:space="0" w:color="auto"/>
          </w:divBdr>
          <w:divsChild>
            <w:div w:id="1374764609">
              <w:marLeft w:val="0"/>
              <w:marRight w:val="0"/>
              <w:marTop w:val="0"/>
              <w:marBottom w:val="0"/>
              <w:divBdr>
                <w:top w:val="none" w:sz="0" w:space="0" w:color="auto"/>
                <w:left w:val="none" w:sz="0" w:space="0" w:color="auto"/>
                <w:bottom w:val="none" w:sz="0" w:space="0" w:color="auto"/>
                <w:right w:val="none" w:sz="0" w:space="0" w:color="auto"/>
              </w:divBdr>
              <w:divsChild>
                <w:div w:id="964121895">
                  <w:marLeft w:val="0"/>
                  <w:marRight w:val="0"/>
                  <w:marTop w:val="0"/>
                  <w:marBottom w:val="0"/>
                  <w:divBdr>
                    <w:top w:val="none" w:sz="0" w:space="0" w:color="auto"/>
                    <w:left w:val="none" w:sz="0" w:space="0" w:color="auto"/>
                    <w:bottom w:val="none" w:sz="0" w:space="0" w:color="auto"/>
                    <w:right w:val="none" w:sz="0" w:space="0" w:color="auto"/>
                  </w:divBdr>
                  <w:divsChild>
                    <w:div w:id="1153525101">
                      <w:marLeft w:val="0"/>
                      <w:marRight w:val="0"/>
                      <w:marTop w:val="0"/>
                      <w:marBottom w:val="0"/>
                      <w:divBdr>
                        <w:top w:val="none" w:sz="0" w:space="0" w:color="auto"/>
                        <w:left w:val="none" w:sz="0" w:space="0" w:color="auto"/>
                        <w:bottom w:val="none" w:sz="0" w:space="0" w:color="auto"/>
                        <w:right w:val="none" w:sz="0" w:space="0" w:color="auto"/>
                      </w:divBdr>
                      <w:divsChild>
                        <w:div w:id="3684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Григорчук</cp:lastModifiedBy>
  <cp:revision>4</cp:revision>
  <dcterms:created xsi:type="dcterms:W3CDTF">2022-01-20T04:39:00Z</dcterms:created>
  <dcterms:modified xsi:type="dcterms:W3CDTF">2022-01-20T05:11:00Z</dcterms:modified>
</cp:coreProperties>
</file>